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1EF" w:rsidRPr="005E78D3" w:rsidRDefault="009201EF" w:rsidP="005E78D3">
      <w:pPr>
        <w:pStyle w:val="Nadpis2"/>
      </w:pPr>
      <w:bookmarkStart w:id="0" w:name="_Toc420948851"/>
      <w:bookmarkStart w:id="1" w:name="_Toc431553415"/>
      <w:bookmarkStart w:id="2" w:name="_Toc4670267"/>
      <w:r w:rsidRPr="005E78D3">
        <w:t>Obyvatelstvo</w:t>
      </w:r>
      <w:bookmarkEnd w:id="0"/>
      <w:bookmarkEnd w:id="1"/>
      <w:bookmarkEnd w:id="2"/>
    </w:p>
    <w:p w:rsidR="00F158D7" w:rsidRPr="009201EF" w:rsidRDefault="00F158D7" w:rsidP="00F158D7">
      <w:pPr>
        <w:jc w:val="both"/>
        <w:rPr>
          <w:rFonts w:ascii="Times New Roman" w:hAnsi="Times New Roman" w:cs="Times New Roman"/>
        </w:rPr>
      </w:pPr>
      <w:bookmarkStart w:id="3" w:name="_Toc420948853"/>
      <w:r w:rsidRPr="009201EF">
        <w:rPr>
          <w:rFonts w:ascii="Times New Roman" w:hAnsi="Times New Roman" w:cs="Times New Roman"/>
        </w:rPr>
        <w:t>V kapitole obyvatelstvo jsou sledovány základní</w:t>
      </w:r>
      <w:r>
        <w:rPr>
          <w:rFonts w:ascii="Times New Roman" w:hAnsi="Times New Roman" w:cs="Times New Roman"/>
        </w:rPr>
        <w:t xml:space="preserve"> demografické</w:t>
      </w:r>
      <w:r w:rsidRPr="009201EF">
        <w:rPr>
          <w:rFonts w:ascii="Times New Roman" w:hAnsi="Times New Roman" w:cs="Times New Roman"/>
        </w:rPr>
        <w:t xml:space="preserve"> ch</w:t>
      </w:r>
      <w:r>
        <w:rPr>
          <w:rFonts w:ascii="Times New Roman" w:hAnsi="Times New Roman" w:cs="Times New Roman"/>
        </w:rPr>
        <w:t>arakteristiky -</w:t>
      </w:r>
      <w:r w:rsidRPr="009201EF">
        <w:rPr>
          <w:rFonts w:ascii="Times New Roman" w:hAnsi="Times New Roman" w:cs="Times New Roman"/>
        </w:rPr>
        <w:t xml:space="preserve"> vývoj celkového počtu obyvatelstva, přirozený přírůstek a úbytek, přírůstek stěhováním, věková a vzdělanostní struktura obyvatelstva.</w:t>
      </w:r>
      <w:r>
        <w:rPr>
          <w:rFonts w:ascii="Times New Roman" w:hAnsi="Times New Roman" w:cs="Times New Roman"/>
        </w:rPr>
        <w:t xml:space="preserve">  </w:t>
      </w:r>
    </w:p>
    <w:p w:rsidR="00F158D7" w:rsidRDefault="00F158D7" w:rsidP="00F158D7">
      <w:pPr>
        <w:spacing w:after="0" w:line="240" w:lineRule="auto"/>
        <w:rPr>
          <w:rFonts w:ascii="Times New Roman" w:hAnsi="Times New Roman" w:cs="Times New Roman"/>
          <w:sz w:val="18"/>
        </w:rPr>
      </w:pPr>
      <w:r>
        <w:rPr>
          <w:rFonts w:ascii="Times New Roman" w:hAnsi="Times New Roman" w:cs="Times New Roman"/>
          <w:sz w:val="18"/>
        </w:rPr>
        <w:t>Tabulka: Vývoj</w:t>
      </w:r>
      <w:r w:rsidRPr="009201EF">
        <w:rPr>
          <w:rFonts w:ascii="Times New Roman" w:hAnsi="Times New Roman" w:cs="Times New Roman"/>
          <w:sz w:val="18"/>
        </w:rPr>
        <w:t xml:space="preserve"> počtu obyvatel</w:t>
      </w:r>
      <w:r>
        <w:rPr>
          <w:rFonts w:ascii="Times New Roman" w:hAnsi="Times New Roman" w:cs="Times New Roman"/>
          <w:sz w:val="18"/>
        </w:rPr>
        <w:t xml:space="preserve"> celkem a dle pohlaví</w:t>
      </w:r>
      <w:r w:rsidRPr="009201EF">
        <w:rPr>
          <w:rFonts w:ascii="Times New Roman" w:hAnsi="Times New Roman" w:cs="Times New Roman"/>
          <w:sz w:val="18"/>
        </w:rPr>
        <w:t xml:space="preserve"> v absolutních hodnotách</w:t>
      </w:r>
    </w:p>
    <w:tbl>
      <w:tblPr>
        <w:tblW w:w="5000" w:type="pct"/>
        <w:tblCellMar>
          <w:left w:w="70" w:type="dxa"/>
          <w:right w:w="70" w:type="dxa"/>
        </w:tblCellMar>
        <w:tblLook w:val="04A0" w:firstRow="1" w:lastRow="0" w:firstColumn="1" w:lastColumn="0" w:noHBand="0" w:noVBand="1"/>
      </w:tblPr>
      <w:tblGrid>
        <w:gridCol w:w="1165"/>
        <w:gridCol w:w="790"/>
        <w:gridCol w:w="790"/>
        <w:gridCol w:w="790"/>
        <w:gridCol w:w="790"/>
        <w:gridCol w:w="790"/>
        <w:gridCol w:w="790"/>
        <w:gridCol w:w="790"/>
        <w:gridCol w:w="790"/>
        <w:gridCol w:w="790"/>
        <w:gridCol w:w="787"/>
      </w:tblGrid>
      <w:tr w:rsidR="00F158D7" w:rsidRPr="00A73114" w:rsidTr="001E4EF8">
        <w:trPr>
          <w:trHeight w:val="227"/>
        </w:trPr>
        <w:tc>
          <w:tcPr>
            <w:tcW w:w="642" w:type="pct"/>
            <w:tcBorders>
              <w:top w:val="single" w:sz="4" w:space="0" w:color="auto"/>
              <w:left w:val="single" w:sz="4" w:space="0" w:color="auto"/>
              <w:bottom w:val="single" w:sz="4" w:space="0" w:color="auto"/>
              <w:right w:val="single" w:sz="4" w:space="0" w:color="auto"/>
            </w:tcBorders>
            <w:shd w:val="clear" w:color="000000" w:fill="1F497D"/>
            <w:noWrap/>
            <w:vAlign w:val="center"/>
            <w:hideMark/>
          </w:tcPr>
          <w:p w:rsidR="00F158D7" w:rsidRPr="00A73114" w:rsidRDefault="00F158D7" w:rsidP="001E4EF8">
            <w:pPr>
              <w:spacing w:after="0" w:line="240" w:lineRule="auto"/>
              <w:rPr>
                <w:rFonts w:ascii="Times New Roman" w:eastAsia="Times New Roman" w:hAnsi="Times New Roman" w:cs="Times New Roman"/>
                <w:b/>
                <w:bCs/>
                <w:color w:val="FFFFFF"/>
                <w:sz w:val="20"/>
                <w:szCs w:val="20"/>
                <w:lang w:eastAsia="cs-CZ"/>
              </w:rPr>
            </w:pPr>
            <w:r w:rsidRPr="00A73114">
              <w:rPr>
                <w:rFonts w:ascii="Times New Roman" w:eastAsia="Times New Roman" w:hAnsi="Times New Roman" w:cs="Times New Roman"/>
                <w:b/>
                <w:bCs/>
                <w:color w:val="FFFFFF"/>
                <w:sz w:val="20"/>
                <w:szCs w:val="20"/>
                <w:lang w:eastAsia="cs-CZ"/>
              </w:rPr>
              <w:t>Rok</w:t>
            </w:r>
          </w:p>
        </w:tc>
        <w:tc>
          <w:tcPr>
            <w:tcW w:w="436" w:type="pct"/>
            <w:tcBorders>
              <w:top w:val="single" w:sz="4" w:space="0" w:color="auto"/>
              <w:left w:val="nil"/>
              <w:bottom w:val="single" w:sz="4" w:space="0" w:color="auto"/>
              <w:right w:val="single" w:sz="4" w:space="0" w:color="auto"/>
            </w:tcBorders>
            <w:shd w:val="clear" w:color="000000" w:fill="1F497D"/>
            <w:noWrap/>
            <w:vAlign w:val="center"/>
            <w:hideMark/>
          </w:tcPr>
          <w:p w:rsidR="00F158D7" w:rsidRPr="00A73114" w:rsidRDefault="00F158D7" w:rsidP="001E4EF8">
            <w:pPr>
              <w:spacing w:after="0" w:line="240" w:lineRule="auto"/>
              <w:jc w:val="center"/>
              <w:rPr>
                <w:rFonts w:ascii="Times New Roman" w:eastAsia="Times New Roman" w:hAnsi="Times New Roman" w:cs="Times New Roman"/>
                <w:b/>
                <w:bCs/>
                <w:color w:val="FFFFFF"/>
                <w:sz w:val="20"/>
                <w:szCs w:val="20"/>
                <w:lang w:eastAsia="cs-CZ"/>
              </w:rPr>
            </w:pPr>
            <w:r w:rsidRPr="00A73114">
              <w:rPr>
                <w:rFonts w:ascii="Times New Roman" w:eastAsia="Times New Roman" w:hAnsi="Times New Roman" w:cs="Times New Roman"/>
                <w:b/>
                <w:bCs/>
                <w:color w:val="FFFFFF"/>
                <w:sz w:val="20"/>
                <w:szCs w:val="20"/>
                <w:lang w:eastAsia="cs-CZ"/>
              </w:rPr>
              <w:t>2008</w:t>
            </w:r>
          </w:p>
        </w:tc>
        <w:tc>
          <w:tcPr>
            <w:tcW w:w="436" w:type="pct"/>
            <w:tcBorders>
              <w:top w:val="single" w:sz="4" w:space="0" w:color="auto"/>
              <w:left w:val="nil"/>
              <w:bottom w:val="single" w:sz="4" w:space="0" w:color="auto"/>
              <w:right w:val="single" w:sz="4" w:space="0" w:color="auto"/>
            </w:tcBorders>
            <w:shd w:val="clear" w:color="000000" w:fill="1F497D"/>
            <w:noWrap/>
            <w:vAlign w:val="center"/>
            <w:hideMark/>
          </w:tcPr>
          <w:p w:rsidR="00F158D7" w:rsidRPr="00A73114" w:rsidRDefault="00F158D7" w:rsidP="001E4EF8">
            <w:pPr>
              <w:spacing w:after="0" w:line="240" w:lineRule="auto"/>
              <w:jc w:val="center"/>
              <w:rPr>
                <w:rFonts w:ascii="Times New Roman" w:eastAsia="Times New Roman" w:hAnsi="Times New Roman" w:cs="Times New Roman"/>
                <w:b/>
                <w:bCs/>
                <w:color w:val="FFFFFF"/>
                <w:sz w:val="20"/>
                <w:szCs w:val="20"/>
                <w:lang w:eastAsia="cs-CZ"/>
              </w:rPr>
            </w:pPr>
            <w:r w:rsidRPr="00A73114">
              <w:rPr>
                <w:rFonts w:ascii="Times New Roman" w:eastAsia="Times New Roman" w:hAnsi="Times New Roman" w:cs="Times New Roman"/>
                <w:b/>
                <w:bCs/>
                <w:color w:val="FFFFFF"/>
                <w:sz w:val="20"/>
                <w:szCs w:val="20"/>
                <w:lang w:eastAsia="cs-CZ"/>
              </w:rPr>
              <w:t>2009</w:t>
            </w:r>
          </w:p>
        </w:tc>
        <w:tc>
          <w:tcPr>
            <w:tcW w:w="436" w:type="pct"/>
            <w:tcBorders>
              <w:top w:val="single" w:sz="4" w:space="0" w:color="auto"/>
              <w:left w:val="nil"/>
              <w:bottom w:val="single" w:sz="4" w:space="0" w:color="auto"/>
              <w:right w:val="single" w:sz="4" w:space="0" w:color="auto"/>
            </w:tcBorders>
            <w:shd w:val="clear" w:color="000000" w:fill="1F497D"/>
            <w:noWrap/>
            <w:vAlign w:val="center"/>
            <w:hideMark/>
          </w:tcPr>
          <w:p w:rsidR="00F158D7" w:rsidRPr="00A73114" w:rsidRDefault="00F158D7" w:rsidP="001E4EF8">
            <w:pPr>
              <w:spacing w:after="0" w:line="240" w:lineRule="auto"/>
              <w:jc w:val="center"/>
              <w:rPr>
                <w:rFonts w:ascii="Times New Roman" w:eastAsia="Times New Roman" w:hAnsi="Times New Roman" w:cs="Times New Roman"/>
                <w:b/>
                <w:bCs/>
                <w:color w:val="FFFFFF"/>
                <w:sz w:val="20"/>
                <w:szCs w:val="20"/>
                <w:lang w:eastAsia="cs-CZ"/>
              </w:rPr>
            </w:pPr>
            <w:r w:rsidRPr="00A73114">
              <w:rPr>
                <w:rFonts w:ascii="Times New Roman" w:eastAsia="Times New Roman" w:hAnsi="Times New Roman" w:cs="Times New Roman"/>
                <w:b/>
                <w:bCs/>
                <w:color w:val="FFFFFF"/>
                <w:sz w:val="20"/>
                <w:szCs w:val="20"/>
                <w:lang w:eastAsia="cs-CZ"/>
              </w:rPr>
              <w:t>2010</w:t>
            </w:r>
          </w:p>
        </w:tc>
        <w:tc>
          <w:tcPr>
            <w:tcW w:w="436" w:type="pct"/>
            <w:tcBorders>
              <w:top w:val="single" w:sz="4" w:space="0" w:color="auto"/>
              <w:left w:val="nil"/>
              <w:bottom w:val="single" w:sz="4" w:space="0" w:color="auto"/>
              <w:right w:val="single" w:sz="4" w:space="0" w:color="auto"/>
            </w:tcBorders>
            <w:shd w:val="clear" w:color="000000" w:fill="1F497D"/>
            <w:noWrap/>
            <w:vAlign w:val="center"/>
            <w:hideMark/>
          </w:tcPr>
          <w:p w:rsidR="00F158D7" w:rsidRPr="00A73114" w:rsidRDefault="00F158D7" w:rsidP="001E4EF8">
            <w:pPr>
              <w:spacing w:after="0" w:line="240" w:lineRule="auto"/>
              <w:jc w:val="center"/>
              <w:rPr>
                <w:rFonts w:ascii="Times New Roman" w:eastAsia="Times New Roman" w:hAnsi="Times New Roman" w:cs="Times New Roman"/>
                <w:b/>
                <w:bCs/>
                <w:color w:val="FFFFFF"/>
                <w:sz w:val="20"/>
                <w:szCs w:val="20"/>
                <w:lang w:eastAsia="cs-CZ"/>
              </w:rPr>
            </w:pPr>
            <w:r w:rsidRPr="00A73114">
              <w:rPr>
                <w:rFonts w:ascii="Times New Roman" w:eastAsia="Times New Roman" w:hAnsi="Times New Roman" w:cs="Times New Roman"/>
                <w:b/>
                <w:bCs/>
                <w:color w:val="FFFFFF"/>
                <w:sz w:val="20"/>
                <w:szCs w:val="20"/>
                <w:lang w:eastAsia="cs-CZ"/>
              </w:rPr>
              <w:t>2011</w:t>
            </w:r>
          </w:p>
        </w:tc>
        <w:tc>
          <w:tcPr>
            <w:tcW w:w="436" w:type="pct"/>
            <w:tcBorders>
              <w:top w:val="single" w:sz="4" w:space="0" w:color="auto"/>
              <w:left w:val="nil"/>
              <w:bottom w:val="single" w:sz="4" w:space="0" w:color="auto"/>
              <w:right w:val="single" w:sz="4" w:space="0" w:color="auto"/>
            </w:tcBorders>
            <w:shd w:val="clear" w:color="000000" w:fill="1F497D"/>
            <w:noWrap/>
            <w:vAlign w:val="center"/>
            <w:hideMark/>
          </w:tcPr>
          <w:p w:rsidR="00F158D7" w:rsidRPr="00A73114" w:rsidRDefault="00F158D7" w:rsidP="001E4EF8">
            <w:pPr>
              <w:spacing w:after="0" w:line="240" w:lineRule="auto"/>
              <w:jc w:val="center"/>
              <w:rPr>
                <w:rFonts w:ascii="Times New Roman" w:eastAsia="Times New Roman" w:hAnsi="Times New Roman" w:cs="Times New Roman"/>
                <w:b/>
                <w:bCs/>
                <w:color w:val="FFFFFF"/>
                <w:sz w:val="20"/>
                <w:szCs w:val="20"/>
                <w:lang w:eastAsia="cs-CZ"/>
              </w:rPr>
            </w:pPr>
            <w:r w:rsidRPr="00A73114">
              <w:rPr>
                <w:rFonts w:ascii="Times New Roman" w:eastAsia="Times New Roman" w:hAnsi="Times New Roman" w:cs="Times New Roman"/>
                <w:b/>
                <w:bCs/>
                <w:color w:val="FFFFFF"/>
                <w:sz w:val="20"/>
                <w:szCs w:val="20"/>
                <w:lang w:eastAsia="cs-CZ"/>
              </w:rPr>
              <w:t>2012</w:t>
            </w:r>
          </w:p>
        </w:tc>
        <w:tc>
          <w:tcPr>
            <w:tcW w:w="436" w:type="pct"/>
            <w:tcBorders>
              <w:top w:val="single" w:sz="4" w:space="0" w:color="auto"/>
              <w:left w:val="nil"/>
              <w:bottom w:val="single" w:sz="4" w:space="0" w:color="auto"/>
              <w:right w:val="single" w:sz="4" w:space="0" w:color="auto"/>
            </w:tcBorders>
            <w:shd w:val="clear" w:color="000000" w:fill="1F497D"/>
            <w:noWrap/>
            <w:vAlign w:val="center"/>
            <w:hideMark/>
          </w:tcPr>
          <w:p w:rsidR="00F158D7" w:rsidRPr="00A73114" w:rsidRDefault="00F158D7" w:rsidP="001E4EF8">
            <w:pPr>
              <w:spacing w:after="0" w:line="240" w:lineRule="auto"/>
              <w:jc w:val="center"/>
              <w:rPr>
                <w:rFonts w:ascii="Times New Roman" w:eastAsia="Times New Roman" w:hAnsi="Times New Roman" w:cs="Times New Roman"/>
                <w:b/>
                <w:bCs/>
                <w:color w:val="FFFFFF"/>
                <w:sz w:val="20"/>
                <w:szCs w:val="20"/>
                <w:lang w:eastAsia="cs-CZ"/>
              </w:rPr>
            </w:pPr>
            <w:r w:rsidRPr="00A73114">
              <w:rPr>
                <w:rFonts w:ascii="Times New Roman" w:eastAsia="Times New Roman" w:hAnsi="Times New Roman" w:cs="Times New Roman"/>
                <w:b/>
                <w:bCs/>
                <w:color w:val="FFFFFF"/>
                <w:sz w:val="20"/>
                <w:szCs w:val="20"/>
                <w:lang w:eastAsia="cs-CZ"/>
              </w:rPr>
              <w:t>2013</w:t>
            </w:r>
          </w:p>
        </w:tc>
        <w:tc>
          <w:tcPr>
            <w:tcW w:w="436" w:type="pct"/>
            <w:tcBorders>
              <w:top w:val="single" w:sz="4" w:space="0" w:color="auto"/>
              <w:left w:val="nil"/>
              <w:bottom w:val="single" w:sz="4" w:space="0" w:color="auto"/>
              <w:right w:val="single" w:sz="4" w:space="0" w:color="auto"/>
            </w:tcBorders>
            <w:shd w:val="clear" w:color="000000" w:fill="1F497D"/>
            <w:noWrap/>
            <w:vAlign w:val="center"/>
            <w:hideMark/>
          </w:tcPr>
          <w:p w:rsidR="00F158D7" w:rsidRPr="00A73114" w:rsidRDefault="00F158D7" w:rsidP="001E4EF8">
            <w:pPr>
              <w:spacing w:after="0" w:line="240" w:lineRule="auto"/>
              <w:jc w:val="center"/>
              <w:rPr>
                <w:rFonts w:ascii="Times New Roman" w:eastAsia="Times New Roman" w:hAnsi="Times New Roman" w:cs="Times New Roman"/>
                <w:b/>
                <w:bCs/>
                <w:color w:val="FFFFFF"/>
                <w:sz w:val="20"/>
                <w:szCs w:val="20"/>
                <w:lang w:eastAsia="cs-CZ"/>
              </w:rPr>
            </w:pPr>
            <w:r w:rsidRPr="00A73114">
              <w:rPr>
                <w:rFonts w:ascii="Times New Roman" w:eastAsia="Times New Roman" w:hAnsi="Times New Roman" w:cs="Times New Roman"/>
                <w:b/>
                <w:bCs/>
                <w:color w:val="FFFFFF"/>
                <w:sz w:val="20"/>
                <w:szCs w:val="20"/>
                <w:lang w:eastAsia="cs-CZ"/>
              </w:rPr>
              <w:t>2014</w:t>
            </w:r>
          </w:p>
        </w:tc>
        <w:tc>
          <w:tcPr>
            <w:tcW w:w="436" w:type="pct"/>
            <w:tcBorders>
              <w:top w:val="single" w:sz="4" w:space="0" w:color="auto"/>
              <w:left w:val="nil"/>
              <w:bottom w:val="single" w:sz="4" w:space="0" w:color="auto"/>
              <w:right w:val="single" w:sz="4" w:space="0" w:color="auto"/>
            </w:tcBorders>
            <w:shd w:val="clear" w:color="000000" w:fill="1F497D"/>
            <w:noWrap/>
            <w:vAlign w:val="center"/>
            <w:hideMark/>
          </w:tcPr>
          <w:p w:rsidR="00F158D7" w:rsidRPr="00A73114" w:rsidRDefault="00F158D7" w:rsidP="001E4EF8">
            <w:pPr>
              <w:spacing w:after="0" w:line="240" w:lineRule="auto"/>
              <w:jc w:val="center"/>
              <w:rPr>
                <w:rFonts w:ascii="Times New Roman" w:eastAsia="Times New Roman" w:hAnsi="Times New Roman" w:cs="Times New Roman"/>
                <w:b/>
                <w:bCs/>
                <w:color w:val="FFFFFF"/>
                <w:sz w:val="20"/>
                <w:szCs w:val="20"/>
                <w:lang w:eastAsia="cs-CZ"/>
              </w:rPr>
            </w:pPr>
            <w:r w:rsidRPr="00A73114">
              <w:rPr>
                <w:rFonts w:ascii="Times New Roman" w:eastAsia="Times New Roman" w:hAnsi="Times New Roman" w:cs="Times New Roman"/>
                <w:b/>
                <w:bCs/>
                <w:color w:val="FFFFFF"/>
                <w:sz w:val="20"/>
                <w:szCs w:val="20"/>
                <w:lang w:eastAsia="cs-CZ"/>
              </w:rPr>
              <w:t>2015</w:t>
            </w:r>
          </w:p>
        </w:tc>
        <w:tc>
          <w:tcPr>
            <w:tcW w:w="436" w:type="pct"/>
            <w:tcBorders>
              <w:top w:val="single" w:sz="4" w:space="0" w:color="auto"/>
              <w:left w:val="nil"/>
              <w:bottom w:val="single" w:sz="4" w:space="0" w:color="auto"/>
              <w:right w:val="single" w:sz="4" w:space="0" w:color="auto"/>
            </w:tcBorders>
            <w:shd w:val="clear" w:color="000000" w:fill="1F497D"/>
            <w:noWrap/>
            <w:vAlign w:val="center"/>
            <w:hideMark/>
          </w:tcPr>
          <w:p w:rsidR="00F158D7" w:rsidRPr="00A73114" w:rsidRDefault="00F158D7" w:rsidP="001E4EF8">
            <w:pPr>
              <w:spacing w:after="0" w:line="240" w:lineRule="auto"/>
              <w:jc w:val="center"/>
              <w:rPr>
                <w:rFonts w:ascii="Times New Roman" w:eastAsia="Times New Roman" w:hAnsi="Times New Roman" w:cs="Times New Roman"/>
                <w:b/>
                <w:bCs/>
                <w:color w:val="FFFFFF"/>
                <w:sz w:val="20"/>
                <w:szCs w:val="20"/>
                <w:lang w:eastAsia="cs-CZ"/>
              </w:rPr>
            </w:pPr>
            <w:r w:rsidRPr="00A73114">
              <w:rPr>
                <w:rFonts w:ascii="Times New Roman" w:eastAsia="Times New Roman" w:hAnsi="Times New Roman" w:cs="Times New Roman"/>
                <w:b/>
                <w:bCs/>
                <w:color w:val="FFFFFF"/>
                <w:sz w:val="20"/>
                <w:szCs w:val="20"/>
                <w:lang w:eastAsia="cs-CZ"/>
              </w:rPr>
              <w:t>2016</w:t>
            </w:r>
          </w:p>
        </w:tc>
        <w:tc>
          <w:tcPr>
            <w:tcW w:w="436" w:type="pct"/>
            <w:tcBorders>
              <w:top w:val="single" w:sz="4" w:space="0" w:color="auto"/>
              <w:left w:val="nil"/>
              <w:bottom w:val="single" w:sz="4" w:space="0" w:color="auto"/>
              <w:right w:val="single" w:sz="4" w:space="0" w:color="auto"/>
            </w:tcBorders>
            <w:shd w:val="clear" w:color="000000" w:fill="1F497D"/>
            <w:noWrap/>
            <w:vAlign w:val="center"/>
            <w:hideMark/>
          </w:tcPr>
          <w:p w:rsidR="00F158D7" w:rsidRPr="00A73114" w:rsidRDefault="00F158D7" w:rsidP="001E4EF8">
            <w:pPr>
              <w:spacing w:after="0" w:line="240" w:lineRule="auto"/>
              <w:jc w:val="center"/>
              <w:rPr>
                <w:rFonts w:ascii="Times New Roman" w:eastAsia="Times New Roman" w:hAnsi="Times New Roman" w:cs="Times New Roman"/>
                <w:b/>
                <w:bCs/>
                <w:color w:val="FFFFFF"/>
                <w:sz w:val="20"/>
                <w:szCs w:val="20"/>
                <w:lang w:eastAsia="cs-CZ"/>
              </w:rPr>
            </w:pPr>
            <w:r w:rsidRPr="00A73114">
              <w:rPr>
                <w:rFonts w:ascii="Times New Roman" w:eastAsia="Times New Roman" w:hAnsi="Times New Roman" w:cs="Times New Roman"/>
                <w:b/>
                <w:bCs/>
                <w:color w:val="FFFFFF"/>
                <w:sz w:val="20"/>
                <w:szCs w:val="20"/>
                <w:lang w:eastAsia="cs-CZ"/>
              </w:rPr>
              <w:t>2017</w:t>
            </w:r>
          </w:p>
        </w:tc>
      </w:tr>
      <w:tr w:rsidR="00F158D7" w:rsidRPr="00A73114" w:rsidTr="001E4EF8">
        <w:trPr>
          <w:trHeight w:val="227"/>
        </w:trPr>
        <w:tc>
          <w:tcPr>
            <w:tcW w:w="642" w:type="pct"/>
            <w:tcBorders>
              <w:top w:val="nil"/>
              <w:left w:val="single" w:sz="4" w:space="0" w:color="auto"/>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rPr>
                <w:rFonts w:ascii="Times New Roman" w:eastAsia="Times New Roman" w:hAnsi="Times New Roman" w:cs="Times New Roman"/>
                <w:b/>
                <w:bCs/>
                <w:color w:val="000000"/>
                <w:sz w:val="20"/>
                <w:szCs w:val="20"/>
                <w:lang w:eastAsia="cs-CZ"/>
              </w:rPr>
            </w:pPr>
            <w:r w:rsidRPr="00A73114">
              <w:rPr>
                <w:rFonts w:ascii="Times New Roman" w:eastAsia="Times New Roman" w:hAnsi="Times New Roman" w:cs="Times New Roman"/>
                <w:b/>
                <w:bCs/>
                <w:color w:val="000000"/>
                <w:sz w:val="20"/>
                <w:szCs w:val="20"/>
                <w:lang w:eastAsia="cs-CZ"/>
              </w:rPr>
              <w:t>Celkem</w:t>
            </w:r>
          </w:p>
        </w:tc>
        <w:tc>
          <w:tcPr>
            <w:tcW w:w="436"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890</w:t>
            </w:r>
          </w:p>
        </w:tc>
        <w:tc>
          <w:tcPr>
            <w:tcW w:w="436"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875</w:t>
            </w:r>
          </w:p>
        </w:tc>
        <w:tc>
          <w:tcPr>
            <w:tcW w:w="436"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885</w:t>
            </w:r>
          </w:p>
        </w:tc>
        <w:tc>
          <w:tcPr>
            <w:tcW w:w="436"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890</w:t>
            </w:r>
          </w:p>
        </w:tc>
        <w:tc>
          <w:tcPr>
            <w:tcW w:w="436"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893</w:t>
            </w:r>
          </w:p>
        </w:tc>
        <w:tc>
          <w:tcPr>
            <w:tcW w:w="436"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898</w:t>
            </w:r>
          </w:p>
        </w:tc>
        <w:tc>
          <w:tcPr>
            <w:tcW w:w="436"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889</w:t>
            </w:r>
          </w:p>
        </w:tc>
        <w:tc>
          <w:tcPr>
            <w:tcW w:w="436"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891</w:t>
            </w:r>
          </w:p>
        </w:tc>
        <w:tc>
          <w:tcPr>
            <w:tcW w:w="436"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885</w:t>
            </w:r>
          </w:p>
        </w:tc>
        <w:tc>
          <w:tcPr>
            <w:tcW w:w="436"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895</w:t>
            </w:r>
          </w:p>
        </w:tc>
      </w:tr>
      <w:tr w:rsidR="00F158D7" w:rsidRPr="00A73114" w:rsidTr="001E4EF8">
        <w:trPr>
          <w:trHeight w:val="227"/>
        </w:trPr>
        <w:tc>
          <w:tcPr>
            <w:tcW w:w="642" w:type="pct"/>
            <w:tcBorders>
              <w:top w:val="nil"/>
              <w:left w:val="single" w:sz="4" w:space="0" w:color="auto"/>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rPr>
                <w:rFonts w:ascii="Times New Roman" w:eastAsia="Times New Roman" w:hAnsi="Times New Roman" w:cs="Times New Roman"/>
                <w:b/>
                <w:bCs/>
                <w:color w:val="000000"/>
                <w:sz w:val="20"/>
                <w:szCs w:val="20"/>
                <w:lang w:eastAsia="cs-CZ"/>
              </w:rPr>
            </w:pPr>
            <w:r w:rsidRPr="00A73114">
              <w:rPr>
                <w:rFonts w:ascii="Times New Roman" w:eastAsia="Times New Roman" w:hAnsi="Times New Roman" w:cs="Times New Roman"/>
                <w:b/>
                <w:bCs/>
                <w:color w:val="000000"/>
                <w:sz w:val="20"/>
                <w:szCs w:val="20"/>
                <w:lang w:eastAsia="cs-CZ"/>
              </w:rPr>
              <w:t>Muži</w:t>
            </w:r>
          </w:p>
        </w:tc>
        <w:tc>
          <w:tcPr>
            <w:tcW w:w="436"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446</w:t>
            </w:r>
          </w:p>
        </w:tc>
        <w:tc>
          <w:tcPr>
            <w:tcW w:w="436"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431</w:t>
            </w:r>
          </w:p>
        </w:tc>
        <w:tc>
          <w:tcPr>
            <w:tcW w:w="436"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436</w:t>
            </w:r>
          </w:p>
        </w:tc>
        <w:tc>
          <w:tcPr>
            <w:tcW w:w="436"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435</w:t>
            </w:r>
          </w:p>
        </w:tc>
        <w:tc>
          <w:tcPr>
            <w:tcW w:w="436"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436</w:t>
            </w:r>
          </w:p>
        </w:tc>
        <w:tc>
          <w:tcPr>
            <w:tcW w:w="436"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438</w:t>
            </w:r>
          </w:p>
        </w:tc>
        <w:tc>
          <w:tcPr>
            <w:tcW w:w="436"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434</w:t>
            </w:r>
          </w:p>
        </w:tc>
        <w:tc>
          <w:tcPr>
            <w:tcW w:w="436"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435</w:t>
            </w:r>
          </w:p>
        </w:tc>
        <w:tc>
          <w:tcPr>
            <w:tcW w:w="436"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435</w:t>
            </w:r>
          </w:p>
        </w:tc>
        <w:tc>
          <w:tcPr>
            <w:tcW w:w="436"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441</w:t>
            </w:r>
          </w:p>
        </w:tc>
      </w:tr>
      <w:tr w:rsidR="00F158D7" w:rsidRPr="00A73114" w:rsidTr="001E4EF8">
        <w:trPr>
          <w:trHeight w:val="227"/>
        </w:trPr>
        <w:tc>
          <w:tcPr>
            <w:tcW w:w="642" w:type="pct"/>
            <w:tcBorders>
              <w:top w:val="nil"/>
              <w:left w:val="single" w:sz="4" w:space="0" w:color="auto"/>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rPr>
                <w:rFonts w:ascii="Times New Roman" w:eastAsia="Times New Roman" w:hAnsi="Times New Roman" w:cs="Times New Roman"/>
                <w:b/>
                <w:bCs/>
                <w:color w:val="000000"/>
                <w:sz w:val="20"/>
                <w:szCs w:val="20"/>
                <w:lang w:eastAsia="cs-CZ"/>
              </w:rPr>
            </w:pPr>
            <w:r w:rsidRPr="00A73114">
              <w:rPr>
                <w:rFonts w:ascii="Times New Roman" w:eastAsia="Times New Roman" w:hAnsi="Times New Roman" w:cs="Times New Roman"/>
                <w:b/>
                <w:bCs/>
                <w:color w:val="000000"/>
                <w:sz w:val="20"/>
                <w:szCs w:val="20"/>
                <w:lang w:eastAsia="cs-CZ"/>
              </w:rPr>
              <w:t>Ženy</w:t>
            </w:r>
          </w:p>
        </w:tc>
        <w:tc>
          <w:tcPr>
            <w:tcW w:w="436"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444</w:t>
            </w:r>
          </w:p>
        </w:tc>
        <w:tc>
          <w:tcPr>
            <w:tcW w:w="436"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444</w:t>
            </w:r>
          </w:p>
        </w:tc>
        <w:tc>
          <w:tcPr>
            <w:tcW w:w="436"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449</w:t>
            </w:r>
          </w:p>
        </w:tc>
        <w:tc>
          <w:tcPr>
            <w:tcW w:w="436"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455</w:t>
            </w:r>
          </w:p>
        </w:tc>
        <w:tc>
          <w:tcPr>
            <w:tcW w:w="436"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457</w:t>
            </w:r>
          </w:p>
        </w:tc>
        <w:tc>
          <w:tcPr>
            <w:tcW w:w="436"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460</w:t>
            </w:r>
          </w:p>
        </w:tc>
        <w:tc>
          <w:tcPr>
            <w:tcW w:w="436"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455</w:t>
            </w:r>
          </w:p>
        </w:tc>
        <w:tc>
          <w:tcPr>
            <w:tcW w:w="436"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456</w:t>
            </w:r>
          </w:p>
        </w:tc>
        <w:tc>
          <w:tcPr>
            <w:tcW w:w="436"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450</w:t>
            </w:r>
          </w:p>
        </w:tc>
        <w:tc>
          <w:tcPr>
            <w:tcW w:w="436"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454</w:t>
            </w:r>
          </w:p>
        </w:tc>
      </w:tr>
    </w:tbl>
    <w:p w:rsidR="00F158D7" w:rsidRPr="009201EF" w:rsidRDefault="00F158D7" w:rsidP="00F158D7">
      <w:pPr>
        <w:rPr>
          <w:rFonts w:ascii="Times New Roman" w:hAnsi="Times New Roman" w:cs="Times New Roman"/>
          <w:sz w:val="18"/>
        </w:rPr>
      </w:pPr>
      <w:r w:rsidRPr="009201EF">
        <w:rPr>
          <w:rFonts w:ascii="Times New Roman" w:hAnsi="Times New Roman" w:cs="Times New Roman"/>
          <w:sz w:val="18"/>
        </w:rPr>
        <w:t>Zdroj: ČSÚ, vlastní zpracování</w:t>
      </w:r>
    </w:p>
    <w:p w:rsidR="00F158D7" w:rsidRDefault="00F158D7" w:rsidP="00F158D7">
      <w:pPr>
        <w:jc w:val="both"/>
        <w:rPr>
          <w:rFonts w:ascii="Times New Roman" w:hAnsi="Times New Roman" w:cs="Times New Roman"/>
        </w:rPr>
      </w:pPr>
      <w:r w:rsidRPr="009201EF">
        <w:rPr>
          <w:rFonts w:ascii="Times New Roman" w:hAnsi="Times New Roman" w:cs="Times New Roman"/>
        </w:rPr>
        <w:t>Vývoj celkového počtu obyvatel má ve sledovaném období</w:t>
      </w:r>
      <w:r>
        <w:rPr>
          <w:rFonts w:ascii="Times New Roman" w:hAnsi="Times New Roman" w:cs="Times New Roman"/>
        </w:rPr>
        <w:t xml:space="preserve"> 2008 – 2013</w:t>
      </w:r>
      <w:r w:rsidRPr="009201EF">
        <w:rPr>
          <w:rFonts w:ascii="Times New Roman" w:hAnsi="Times New Roman" w:cs="Times New Roman"/>
        </w:rPr>
        <w:t xml:space="preserve"> </w:t>
      </w:r>
      <w:r>
        <w:rPr>
          <w:rFonts w:ascii="Times New Roman" w:hAnsi="Times New Roman" w:cs="Times New Roman"/>
        </w:rPr>
        <w:t xml:space="preserve">rostoucí vývojovou charakteristiku s následnou klesající tendencí do roku 2017. V průběhu vývoje poslední dekády se počet obyvatel nedostal pod hranici výchozího roku 2008, což lze hodnotit ve srovnání s širším územím kladně. </w:t>
      </w:r>
    </w:p>
    <w:p w:rsidR="00F158D7" w:rsidRPr="009201EF" w:rsidRDefault="00F158D7" w:rsidP="00F158D7">
      <w:pPr>
        <w:spacing w:after="0" w:line="240" w:lineRule="auto"/>
        <w:jc w:val="both"/>
        <w:rPr>
          <w:rFonts w:ascii="Times New Roman" w:hAnsi="Times New Roman" w:cs="Times New Roman"/>
        </w:rPr>
      </w:pPr>
    </w:p>
    <w:p w:rsidR="00F158D7" w:rsidRDefault="00F158D7" w:rsidP="00F158D7">
      <w:pPr>
        <w:jc w:val="both"/>
        <w:rPr>
          <w:rFonts w:ascii="Times New Roman" w:hAnsi="Times New Roman" w:cs="Times New Roman"/>
        </w:rPr>
      </w:pPr>
      <w:r w:rsidRPr="009201EF">
        <w:rPr>
          <w:rFonts w:ascii="Times New Roman" w:hAnsi="Times New Roman" w:cs="Times New Roman"/>
        </w:rPr>
        <w:t xml:space="preserve">Následující graf zachycuje </w:t>
      </w:r>
      <w:r>
        <w:rPr>
          <w:rFonts w:ascii="Times New Roman" w:hAnsi="Times New Roman" w:cs="Times New Roman"/>
        </w:rPr>
        <w:t>obec ve srovnání s SO ORP Železný Brod v meziročním relativním vývoji počtu obyvatel</w:t>
      </w:r>
      <w:r w:rsidRPr="009201EF">
        <w:rPr>
          <w:rFonts w:ascii="Times New Roman" w:hAnsi="Times New Roman" w:cs="Times New Roman"/>
        </w:rPr>
        <w:t>. Z grafu je patrné, že</w:t>
      </w:r>
      <w:r>
        <w:rPr>
          <w:rFonts w:ascii="Times New Roman" w:hAnsi="Times New Roman" w:cs="Times New Roman"/>
        </w:rPr>
        <w:t xml:space="preserve"> meziroční</w:t>
      </w:r>
      <w:r w:rsidRPr="009201EF">
        <w:rPr>
          <w:rFonts w:ascii="Times New Roman" w:hAnsi="Times New Roman" w:cs="Times New Roman"/>
        </w:rPr>
        <w:t xml:space="preserve"> </w:t>
      </w:r>
      <w:r>
        <w:rPr>
          <w:rFonts w:ascii="Times New Roman" w:hAnsi="Times New Roman" w:cs="Times New Roman"/>
        </w:rPr>
        <w:t xml:space="preserve">vývoj počtu obyvatel obce kopíruje trend vývoje širšího území SO ORP Železný Brod. </w:t>
      </w:r>
    </w:p>
    <w:p w:rsidR="00F158D7" w:rsidRDefault="00F158D7" w:rsidP="00F158D7">
      <w:pPr>
        <w:spacing w:after="0" w:line="240" w:lineRule="auto"/>
        <w:rPr>
          <w:rFonts w:ascii="Times New Roman" w:hAnsi="Times New Roman" w:cs="Times New Roman"/>
          <w:sz w:val="18"/>
        </w:rPr>
      </w:pPr>
    </w:p>
    <w:p w:rsidR="00F158D7" w:rsidRPr="009201EF" w:rsidRDefault="00F158D7" w:rsidP="00F158D7">
      <w:pPr>
        <w:spacing w:after="0" w:line="240" w:lineRule="auto"/>
        <w:rPr>
          <w:rFonts w:ascii="Times New Roman" w:hAnsi="Times New Roman" w:cs="Times New Roman"/>
          <w:sz w:val="18"/>
        </w:rPr>
      </w:pPr>
      <w:r>
        <w:rPr>
          <w:rFonts w:ascii="Times New Roman" w:hAnsi="Times New Roman" w:cs="Times New Roman"/>
          <w:sz w:val="18"/>
        </w:rPr>
        <w:t>Graf:</w:t>
      </w:r>
      <w:r w:rsidRPr="009201EF">
        <w:rPr>
          <w:rFonts w:ascii="Times New Roman" w:hAnsi="Times New Roman" w:cs="Times New Roman"/>
          <w:sz w:val="18"/>
        </w:rPr>
        <w:t xml:space="preserve"> Srovnání meziročního</w:t>
      </w:r>
      <w:r>
        <w:rPr>
          <w:rFonts w:ascii="Times New Roman" w:hAnsi="Times New Roman" w:cs="Times New Roman"/>
          <w:sz w:val="18"/>
        </w:rPr>
        <w:t xml:space="preserve"> vývoje počtu obyvatel v %, 2008 - 2017</w:t>
      </w:r>
    </w:p>
    <w:p w:rsidR="00F158D7" w:rsidRPr="009201EF" w:rsidRDefault="00F158D7" w:rsidP="00F158D7">
      <w:pPr>
        <w:spacing w:after="0" w:line="240" w:lineRule="auto"/>
        <w:rPr>
          <w:rFonts w:ascii="Times New Roman" w:hAnsi="Times New Roman" w:cs="Times New Roman"/>
        </w:rPr>
      </w:pPr>
      <w:r>
        <w:rPr>
          <w:noProof/>
          <w:lang w:eastAsia="cs-CZ"/>
        </w:rPr>
        <w:drawing>
          <wp:inline distT="0" distB="0" distL="0" distR="0" wp14:anchorId="5F589F6C" wp14:editId="65E8CCD2">
            <wp:extent cx="5753100" cy="2371725"/>
            <wp:effectExtent l="76200" t="57150" r="76200" b="85725"/>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158D7" w:rsidRPr="009201EF" w:rsidRDefault="00F158D7" w:rsidP="00F158D7">
      <w:pPr>
        <w:rPr>
          <w:rFonts w:ascii="Times New Roman" w:hAnsi="Times New Roman" w:cs="Times New Roman"/>
          <w:sz w:val="18"/>
        </w:rPr>
      </w:pPr>
      <w:r w:rsidRPr="009201EF">
        <w:rPr>
          <w:rFonts w:ascii="Times New Roman" w:hAnsi="Times New Roman" w:cs="Times New Roman"/>
          <w:sz w:val="18"/>
        </w:rPr>
        <w:t>Zdroj: ČSÚ, vlastní zpracování</w:t>
      </w:r>
    </w:p>
    <w:p w:rsidR="00F158D7" w:rsidRPr="009201EF" w:rsidRDefault="00F158D7" w:rsidP="00F158D7">
      <w:pPr>
        <w:spacing w:after="0"/>
        <w:jc w:val="both"/>
        <w:rPr>
          <w:rFonts w:ascii="Times New Roman" w:hAnsi="Times New Roman" w:cs="Times New Roman"/>
        </w:rPr>
      </w:pPr>
      <w:r w:rsidRPr="009201EF">
        <w:rPr>
          <w:rFonts w:ascii="Times New Roman" w:hAnsi="Times New Roman" w:cs="Times New Roman"/>
        </w:rPr>
        <w:t>V</w:t>
      </w:r>
      <w:r>
        <w:rPr>
          <w:rFonts w:ascii="Times New Roman" w:hAnsi="Times New Roman" w:cs="Times New Roman"/>
        </w:rPr>
        <w:t> grafu je zachycen vývoj</w:t>
      </w:r>
      <w:r w:rsidRPr="009201EF">
        <w:rPr>
          <w:rFonts w:ascii="Times New Roman" w:hAnsi="Times New Roman" w:cs="Times New Roman"/>
        </w:rPr>
        <w:t xml:space="preserve"> celkového počtu obyvatel</w:t>
      </w:r>
      <w:r>
        <w:rPr>
          <w:rFonts w:ascii="Times New Roman" w:hAnsi="Times New Roman" w:cs="Times New Roman"/>
        </w:rPr>
        <w:t>, který je počítán k výchozímu roku 2008.  Výchozí</w:t>
      </w:r>
      <w:r w:rsidRPr="009201EF">
        <w:rPr>
          <w:rFonts w:ascii="Times New Roman" w:hAnsi="Times New Roman" w:cs="Times New Roman"/>
        </w:rPr>
        <w:t xml:space="preserve"> rok</w:t>
      </w:r>
      <w:r>
        <w:rPr>
          <w:rFonts w:ascii="Times New Roman" w:hAnsi="Times New Roman" w:cs="Times New Roman"/>
        </w:rPr>
        <w:t xml:space="preserve"> je</w:t>
      </w:r>
      <w:r w:rsidRPr="009201EF">
        <w:rPr>
          <w:rFonts w:ascii="Times New Roman" w:hAnsi="Times New Roman" w:cs="Times New Roman"/>
        </w:rPr>
        <w:t xml:space="preserve"> znázorněn hodnotou 100% a v absolu</w:t>
      </w:r>
      <w:r>
        <w:rPr>
          <w:rFonts w:ascii="Times New Roman" w:hAnsi="Times New Roman" w:cs="Times New Roman"/>
        </w:rPr>
        <w:t xml:space="preserve">tním vyjádření odpovídá hodnotě 890 </w:t>
      </w:r>
      <w:r w:rsidRPr="009201EF">
        <w:rPr>
          <w:rFonts w:ascii="Times New Roman" w:hAnsi="Times New Roman" w:cs="Times New Roman"/>
        </w:rPr>
        <w:t xml:space="preserve">obyvatel. </w:t>
      </w:r>
    </w:p>
    <w:p w:rsidR="00F158D7" w:rsidRPr="009201EF" w:rsidRDefault="00F158D7" w:rsidP="00F158D7">
      <w:pPr>
        <w:spacing w:after="0"/>
        <w:jc w:val="both"/>
        <w:rPr>
          <w:rFonts w:ascii="Times New Roman" w:hAnsi="Times New Roman" w:cs="Times New Roman"/>
        </w:rPr>
      </w:pPr>
      <w:r w:rsidRPr="009201EF">
        <w:rPr>
          <w:rFonts w:ascii="Times New Roman" w:hAnsi="Times New Roman" w:cs="Times New Roman"/>
        </w:rPr>
        <w:t xml:space="preserve">   </w:t>
      </w:r>
    </w:p>
    <w:p w:rsidR="00F158D7" w:rsidRDefault="00F158D7" w:rsidP="00F158D7">
      <w:pPr>
        <w:jc w:val="both"/>
        <w:rPr>
          <w:rFonts w:ascii="Times New Roman" w:hAnsi="Times New Roman" w:cs="Times New Roman"/>
        </w:rPr>
      </w:pPr>
      <w:r w:rsidRPr="009201EF">
        <w:rPr>
          <w:rFonts w:ascii="Times New Roman" w:hAnsi="Times New Roman" w:cs="Times New Roman"/>
        </w:rPr>
        <w:t>Celkový vývoj obyvatelstva ovlivňují dvě základní složky tohoto ukazatele. První se týká mechanického pohybu obyvatel (vystěhovalí, přistěhovalí) a druhá přirozené měn</w:t>
      </w:r>
      <w:r>
        <w:rPr>
          <w:rFonts w:ascii="Times New Roman" w:hAnsi="Times New Roman" w:cs="Times New Roman"/>
        </w:rPr>
        <w:t>y obyvatel (narození, zemřelí).</w:t>
      </w:r>
    </w:p>
    <w:p w:rsidR="00F158D7" w:rsidRDefault="00F158D7" w:rsidP="00F158D7">
      <w:pPr>
        <w:jc w:val="both"/>
        <w:rPr>
          <w:rFonts w:ascii="Times New Roman" w:hAnsi="Times New Roman" w:cs="Times New Roman"/>
        </w:rPr>
      </w:pPr>
    </w:p>
    <w:p w:rsidR="005D2FAA" w:rsidRDefault="005D2FAA" w:rsidP="00F158D7">
      <w:pPr>
        <w:jc w:val="both"/>
        <w:rPr>
          <w:rFonts w:ascii="Times New Roman" w:hAnsi="Times New Roman" w:cs="Times New Roman"/>
        </w:rPr>
      </w:pPr>
    </w:p>
    <w:p w:rsidR="00F158D7" w:rsidRDefault="00F158D7" w:rsidP="00F158D7">
      <w:pPr>
        <w:spacing w:after="0" w:line="240" w:lineRule="auto"/>
        <w:rPr>
          <w:rFonts w:ascii="Times New Roman" w:hAnsi="Times New Roman" w:cs="Times New Roman"/>
        </w:rPr>
      </w:pPr>
    </w:p>
    <w:p w:rsidR="00F158D7" w:rsidRDefault="00F158D7" w:rsidP="00F158D7">
      <w:pPr>
        <w:spacing w:after="0" w:line="240" w:lineRule="auto"/>
        <w:rPr>
          <w:rFonts w:ascii="Times New Roman" w:hAnsi="Times New Roman" w:cs="Times New Roman"/>
        </w:rPr>
      </w:pPr>
    </w:p>
    <w:p w:rsidR="00F158D7" w:rsidRDefault="00F158D7" w:rsidP="00F158D7">
      <w:pPr>
        <w:spacing w:after="0" w:line="240" w:lineRule="auto"/>
        <w:rPr>
          <w:rFonts w:ascii="Times New Roman" w:hAnsi="Times New Roman" w:cs="Times New Roman"/>
          <w:sz w:val="18"/>
        </w:rPr>
      </w:pPr>
    </w:p>
    <w:p w:rsidR="00F158D7" w:rsidRPr="009201EF" w:rsidRDefault="00F158D7" w:rsidP="00F158D7">
      <w:pPr>
        <w:spacing w:after="0" w:line="240" w:lineRule="auto"/>
        <w:rPr>
          <w:rFonts w:ascii="Times New Roman" w:hAnsi="Times New Roman" w:cs="Times New Roman"/>
          <w:sz w:val="18"/>
        </w:rPr>
      </w:pPr>
      <w:r>
        <w:rPr>
          <w:rFonts w:ascii="Times New Roman" w:hAnsi="Times New Roman" w:cs="Times New Roman"/>
          <w:sz w:val="18"/>
        </w:rPr>
        <w:t xml:space="preserve">Graf: </w:t>
      </w:r>
      <w:r w:rsidRPr="009201EF">
        <w:rPr>
          <w:rFonts w:ascii="Times New Roman" w:hAnsi="Times New Roman" w:cs="Times New Roman"/>
          <w:sz w:val="18"/>
        </w:rPr>
        <w:t>Vývoj a struktu</w:t>
      </w:r>
      <w:r>
        <w:rPr>
          <w:rFonts w:ascii="Times New Roman" w:hAnsi="Times New Roman" w:cs="Times New Roman"/>
          <w:sz w:val="18"/>
        </w:rPr>
        <w:t>ra celkového přírůstku obyvatel</w:t>
      </w:r>
      <w:r w:rsidRPr="009201EF">
        <w:rPr>
          <w:rFonts w:ascii="Times New Roman" w:hAnsi="Times New Roman" w:cs="Times New Roman"/>
          <w:sz w:val="18"/>
        </w:rPr>
        <w:t xml:space="preserve"> v absolutních hodnotách</w:t>
      </w:r>
      <w:r>
        <w:rPr>
          <w:rFonts w:ascii="Times New Roman" w:hAnsi="Times New Roman" w:cs="Times New Roman"/>
          <w:sz w:val="18"/>
        </w:rPr>
        <w:t>, 2008 - 2017</w:t>
      </w:r>
    </w:p>
    <w:p w:rsidR="00F158D7" w:rsidRPr="009201EF" w:rsidRDefault="00F158D7" w:rsidP="00F158D7">
      <w:pPr>
        <w:spacing w:after="0" w:line="240" w:lineRule="auto"/>
        <w:rPr>
          <w:rFonts w:ascii="Times New Roman" w:hAnsi="Times New Roman" w:cs="Times New Roman"/>
        </w:rPr>
      </w:pPr>
      <w:r>
        <w:rPr>
          <w:noProof/>
          <w:lang w:eastAsia="cs-CZ"/>
        </w:rPr>
        <w:drawing>
          <wp:inline distT="0" distB="0" distL="0" distR="0" wp14:anchorId="2F068548" wp14:editId="2833F1B3">
            <wp:extent cx="5762625" cy="2190750"/>
            <wp:effectExtent l="76200" t="57150" r="66675" b="95250"/>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158D7" w:rsidRPr="00865187" w:rsidRDefault="00F158D7" w:rsidP="00F158D7">
      <w:pPr>
        <w:spacing w:line="240" w:lineRule="auto"/>
        <w:rPr>
          <w:rFonts w:ascii="Times New Roman" w:hAnsi="Times New Roman" w:cs="Times New Roman"/>
          <w:sz w:val="18"/>
        </w:rPr>
      </w:pPr>
      <w:r>
        <w:rPr>
          <w:rFonts w:ascii="Times New Roman" w:hAnsi="Times New Roman" w:cs="Times New Roman"/>
          <w:sz w:val="18"/>
        </w:rPr>
        <w:t>Zdroj: ČSÚ, vlastní zpracování</w:t>
      </w:r>
    </w:p>
    <w:p w:rsidR="00F158D7" w:rsidRDefault="00F158D7" w:rsidP="00F158D7">
      <w:pPr>
        <w:jc w:val="both"/>
        <w:rPr>
          <w:rFonts w:ascii="Times New Roman" w:hAnsi="Times New Roman" w:cs="Times New Roman"/>
        </w:rPr>
      </w:pPr>
      <w:r>
        <w:rPr>
          <w:rFonts w:ascii="Times New Roman" w:hAnsi="Times New Roman" w:cs="Times New Roman"/>
        </w:rPr>
        <w:t xml:space="preserve">V průměrných hodnotách deseti let se hodnoty obou složek pohybují v kladném přírůstkovém intervalu 0-1 obyvatel/rok. V jednotlivých letech, kdy dochází ke skokovému růstu či poklesu (2009, 2010, 2017), působí na výsledek především přírůstek/úbytek vyvolaný stěhováním obyvatel. Přirozený přírůstek/úbytek vykazuje ve sledovaném období vyrovnaných hodnot s menším vlivem na zaznamenané výkyvy.     </w:t>
      </w:r>
    </w:p>
    <w:p w:rsidR="00F158D7" w:rsidRDefault="00F158D7" w:rsidP="00F158D7">
      <w:pPr>
        <w:spacing w:after="0" w:line="240" w:lineRule="auto"/>
        <w:rPr>
          <w:rFonts w:ascii="Times New Roman" w:hAnsi="Times New Roman" w:cs="Times New Roman"/>
          <w:sz w:val="18"/>
        </w:rPr>
      </w:pPr>
      <w:r>
        <w:rPr>
          <w:rFonts w:ascii="Times New Roman" w:hAnsi="Times New Roman" w:cs="Times New Roman"/>
          <w:sz w:val="18"/>
        </w:rPr>
        <w:t xml:space="preserve">Tabulka: </w:t>
      </w:r>
      <w:r w:rsidRPr="009201EF">
        <w:rPr>
          <w:rFonts w:ascii="Times New Roman" w:hAnsi="Times New Roman" w:cs="Times New Roman"/>
          <w:sz w:val="18"/>
        </w:rPr>
        <w:t>Přehled údajů za přirozený a mechanic</w:t>
      </w:r>
      <w:r>
        <w:rPr>
          <w:rFonts w:ascii="Times New Roman" w:hAnsi="Times New Roman" w:cs="Times New Roman"/>
          <w:sz w:val="18"/>
        </w:rPr>
        <w:t>ký pohyb obyvatel mezi roky 2008 – 2017</w:t>
      </w:r>
      <w:r w:rsidRPr="009201EF">
        <w:rPr>
          <w:rFonts w:ascii="Times New Roman" w:hAnsi="Times New Roman" w:cs="Times New Roman"/>
          <w:sz w:val="18"/>
        </w:rPr>
        <w:t xml:space="preserve"> v absolutních hodnotách</w:t>
      </w:r>
    </w:p>
    <w:tbl>
      <w:tblPr>
        <w:tblW w:w="5000" w:type="pct"/>
        <w:tblCellMar>
          <w:left w:w="70" w:type="dxa"/>
          <w:right w:w="70" w:type="dxa"/>
        </w:tblCellMar>
        <w:tblLook w:val="04A0" w:firstRow="1" w:lastRow="0" w:firstColumn="1" w:lastColumn="0" w:noHBand="0" w:noVBand="1"/>
      </w:tblPr>
      <w:tblGrid>
        <w:gridCol w:w="724"/>
        <w:gridCol w:w="1043"/>
        <w:gridCol w:w="1043"/>
        <w:gridCol w:w="1042"/>
        <w:gridCol w:w="1042"/>
        <w:gridCol w:w="1042"/>
        <w:gridCol w:w="1042"/>
        <w:gridCol w:w="1042"/>
        <w:gridCol w:w="1042"/>
      </w:tblGrid>
      <w:tr w:rsidR="00F158D7" w:rsidRPr="00A73114" w:rsidTr="001E4EF8">
        <w:trPr>
          <w:trHeight w:val="510"/>
        </w:trPr>
        <w:tc>
          <w:tcPr>
            <w:tcW w:w="399" w:type="pct"/>
            <w:tcBorders>
              <w:top w:val="single" w:sz="4" w:space="0" w:color="auto"/>
              <w:left w:val="single" w:sz="4" w:space="0" w:color="auto"/>
              <w:bottom w:val="single" w:sz="4" w:space="0" w:color="auto"/>
              <w:right w:val="single" w:sz="4" w:space="0" w:color="auto"/>
            </w:tcBorders>
            <w:shd w:val="clear" w:color="000000" w:fill="1F497D"/>
            <w:noWrap/>
            <w:vAlign w:val="center"/>
            <w:hideMark/>
          </w:tcPr>
          <w:p w:rsidR="00F158D7" w:rsidRPr="00A73114" w:rsidRDefault="00F158D7" w:rsidP="001E4EF8">
            <w:pPr>
              <w:spacing w:after="0" w:line="240" w:lineRule="auto"/>
              <w:jc w:val="center"/>
              <w:rPr>
                <w:rFonts w:ascii="Times New Roman" w:eastAsia="Times New Roman" w:hAnsi="Times New Roman" w:cs="Times New Roman"/>
                <w:b/>
                <w:bCs/>
                <w:color w:val="FFFFFF"/>
                <w:sz w:val="20"/>
                <w:szCs w:val="20"/>
                <w:lang w:eastAsia="cs-CZ"/>
              </w:rPr>
            </w:pPr>
            <w:r w:rsidRPr="00A73114">
              <w:rPr>
                <w:rFonts w:ascii="Times New Roman" w:eastAsia="Times New Roman" w:hAnsi="Times New Roman" w:cs="Times New Roman"/>
                <w:b/>
                <w:bCs/>
                <w:color w:val="FFFFFF"/>
                <w:sz w:val="20"/>
                <w:szCs w:val="20"/>
                <w:lang w:eastAsia="cs-CZ"/>
              </w:rPr>
              <w:t>Rok</w:t>
            </w:r>
          </w:p>
        </w:tc>
        <w:tc>
          <w:tcPr>
            <w:tcW w:w="575" w:type="pct"/>
            <w:tcBorders>
              <w:top w:val="single" w:sz="4" w:space="0" w:color="auto"/>
              <w:left w:val="nil"/>
              <w:bottom w:val="single" w:sz="4" w:space="0" w:color="auto"/>
              <w:right w:val="single" w:sz="4" w:space="0" w:color="auto"/>
            </w:tcBorders>
            <w:shd w:val="clear" w:color="000000" w:fill="1F497D"/>
            <w:noWrap/>
            <w:vAlign w:val="center"/>
            <w:hideMark/>
          </w:tcPr>
          <w:p w:rsidR="00F158D7" w:rsidRPr="00A73114" w:rsidRDefault="00F158D7" w:rsidP="001E4EF8">
            <w:pPr>
              <w:spacing w:after="0" w:line="240" w:lineRule="auto"/>
              <w:rPr>
                <w:rFonts w:ascii="Times New Roman" w:eastAsia="Times New Roman" w:hAnsi="Times New Roman" w:cs="Times New Roman"/>
                <w:b/>
                <w:bCs/>
                <w:color w:val="FFFFFF"/>
                <w:sz w:val="20"/>
                <w:szCs w:val="20"/>
                <w:lang w:eastAsia="cs-CZ"/>
              </w:rPr>
            </w:pPr>
            <w:r w:rsidRPr="00A73114">
              <w:rPr>
                <w:rFonts w:ascii="Times New Roman" w:eastAsia="Times New Roman" w:hAnsi="Times New Roman" w:cs="Times New Roman"/>
                <w:b/>
                <w:bCs/>
                <w:color w:val="FFFFFF"/>
                <w:sz w:val="20"/>
                <w:szCs w:val="20"/>
                <w:lang w:eastAsia="cs-CZ"/>
              </w:rPr>
              <w:t>Narození</w:t>
            </w:r>
          </w:p>
        </w:tc>
        <w:tc>
          <w:tcPr>
            <w:tcW w:w="575" w:type="pct"/>
            <w:tcBorders>
              <w:top w:val="single" w:sz="4" w:space="0" w:color="auto"/>
              <w:left w:val="nil"/>
              <w:bottom w:val="single" w:sz="4" w:space="0" w:color="auto"/>
              <w:right w:val="single" w:sz="4" w:space="0" w:color="auto"/>
            </w:tcBorders>
            <w:shd w:val="clear" w:color="000000" w:fill="1F497D"/>
            <w:noWrap/>
            <w:vAlign w:val="center"/>
            <w:hideMark/>
          </w:tcPr>
          <w:p w:rsidR="00F158D7" w:rsidRPr="00A73114" w:rsidRDefault="00F158D7" w:rsidP="001E4EF8">
            <w:pPr>
              <w:spacing w:after="0" w:line="240" w:lineRule="auto"/>
              <w:rPr>
                <w:rFonts w:ascii="Times New Roman" w:eastAsia="Times New Roman" w:hAnsi="Times New Roman" w:cs="Times New Roman"/>
                <w:b/>
                <w:bCs/>
                <w:color w:val="FFFFFF"/>
                <w:sz w:val="20"/>
                <w:szCs w:val="20"/>
                <w:lang w:eastAsia="cs-CZ"/>
              </w:rPr>
            </w:pPr>
            <w:r w:rsidRPr="00A73114">
              <w:rPr>
                <w:rFonts w:ascii="Times New Roman" w:eastAsia="Times New Roman" w:hAnsi="Times New Roman" w:cs="Times New Roman"/>
                <w:b/>
                <w:bCs/>
                <w:color w:val="FFFFFF"/>
                <w:sz w:val="20"/>
                <w:szCs w:val="20"/>
                <w:lang w:eastAsia="cs-CZ"/>
              </w:rPr>
              <w:t>Zemřelí</w:t>
            </w:r>
          </w:p>
        </w:tc>
        <w:tc>
          <w:tcPr>
            <w:tcW w:w="575" w:type="pct"/>
            <w:tcBorders>
              <w:top w:val="single" w:sz="4" w:space="0" w:color="auto"/>
              <w:left w:val="nil"/>
              <w:bottom w:val="single" w:sz="4" w:space="0" w:color="auto"/>
              <w:right w:val="single" w:sz="4" w:space="0" w:color="auto"/>
            </w:tcBorders>
            <w:shd w:val="clear" w:color="000000" w:fill="1F497D"/>
            <w:vAlign w:val="center"/>
            <w:hideMark/>
          </w:tcPr>
          <w:p w:rsidR="00F158D7" w:rsidRPr="00A73114" w:rsidRDefault="00F158D7" w:rsidP="001E4EF8">
            <w:pPr>
              <w:spacing w:after="0" w:line="240" w:lineRule="auto"/>
              <w:rPr>
                <w:rFonts w:ascii="Times New Roman" w:eastAsia="Times New Roman" w:hAnsi="Times New Roman" w:cs="Times New Roman"/>
                <w:b/>
                <w:bCs/>
                <w:color w:val="FFFFFF"/>
                <w:sz w:val="20"/>
                <w:szCs w:val="20"/>
                <w:lang w:eastAsia="cs-CZ"/>
              </w:rPr>
            </w:pPr>
            <w:proofErr w:type="spellStart"/>
            <w:r w:rsidRPr="00A73114">
              <w:rPr>
                <w:rFonts w:ascii="Times New Roman" w:eastAsia="Times New Roman" w:hAnsi="Times New Roman" w:cs="Times New Roman"/>
                <w:b/>
                <w:bCs/>
                <w:color w:val="FFFFFF"/>
                <w:sz w:val="20"/>
                <w:szCs w:val="20"/>
                <w:lang w:eastAsia="cs-CZ"/>
              </w:rPr>
              <w:t>Přistě</w:t>
            </w:r>
            <w:proofErr w:type="spellEnd"/>
            <w:r w:rsidRPr="00A73114">
              <w:rPr>
                <w:rFonts w:ascii="Times New Roman" w:eastAsia="Times New Roman" w:hAnsi="Times New Roman" w:cs="Times New Roman"/>
                <w:b/>
                <w:bCs/>
                <w:color w:val="FFFFFF"/>
                <w:sz w:val="20"/>
                <w:szCs w:val="20"/>
                <w:lang w:eastAsia="cs-CZ"/>
              </w:rPr>
              <w:t>-</w:t>
            </w:r>
            <w:r w:rsidRPr="00A73114">
              <w:rPr>
                <w:rFonts w:ascii="Times New Roman" w:eastAsia="Times New Roman" w:hAnsi="Times New Roman" w:cs="Times New Roman"/>
                <w:b/>
                <w:bCs/>
                <w:color w:val="FFFFFF"/>
                <w:sz w:val="20"/>
                <w:szCs w:val="20"/>
                <w:lang w:eastAsia="cs-CZ"/>
              </w:rPr>
              <w:br/>
            </w:r>
            <w:proofErr w:type="spellStart"/>
            <w:r w:rsidRPr="00A73114">
              <w:rPr>
                <w:rFonts w:ascii="Times New Roman" w:eastAsia="Times New Roman" w:hAnsi="Times New Roman" w:cs="Times New Roman"/>
                <w:b/>
                <w:bCs/>
                <w:color w:val="FFFFFF"/>
                <w:sz w:val="20"/>
                <w:szCs w:val="20"/>
                <w:lang w:eastAsia="cs-CZ"/>
              </w:rPr>
              <w:t>hovalí</w:t>
            </w:r>
            <w:proofErr w:type="spellEnd"/>
          </w:p>
        </w:tc>
        <w:tc>
          <w:tcPr>
            <w:tcW w:w="575" w:type="pct"/>
            <w:tcBorders>
              <w:top w:val="single" w:sz="4" w:space="0" w:color="auto"/>
              <w:left w:val="nil"/>
              <w:bottom w:val="single" w:sz="4" w:space="0" w:color="auto"/>
              <w:right w:val="single" w:sz="4" w:space="0" w:color="auto"/>
            </w:tcBorders>
            <w:shd w:val="clear" w:color="000000" w:fill="1F497D"/>
            <w:vAlign w:val="center"/>
            <w:hideMark/>
          </w:tcPr>
          <w:p w:rsidR="00F158D7" w:rsidRPr="00A73114" w:rsidRDefault="00F158D7" w:rsidP="001E4EF8">
            <w:pPr>
              <w:spacing w:after="0" w:line="240" w:lineRule="auto"/>
              <w:rPr>
                <w:rFonts w:ascii="Times New Roman" w:eastAsia="Times New Roman" w:hAnsi="Times New Roman" w:cs="Times New Roman"/>
                <w:b/>
                <w:bCs/>
                <w:color w:val="FFFFFF"/>
                <w:sz w:val="20"/>
                <w:szCs w:val="20"/>
                <w:lang w:eastAsia="cs-CZ"/>
              </w:rPr>
            </w:pPr>
            <w:proofErr w:type="spellStart"/>
            <w:r w:rsidRPr="00A73114">
              <w:rPr>
                <w:rFonts w:ascii="Times New Roman" w:eastAsia="Times New Roman" w:hAnsi="Times New Roman" w:cs="Times New Roman"/>
                <w:b/>
                <w:bCs/>
                <w:color w:val="FFFFFF"/>
                <w:sz w:val="20"/>
                <w:szCs w:val="20"/>
                <w:lang w:eastAsia="cs-CZ"/>
              </w:rPr>
              <w:t>Vystě</w:t>
            </w:r>
            <w:proofErr w:type="spellEnd"/>
            <w:r w:rsidRPr="00A73114">
              <w:rPr>
                <w:rFonts w:ascii="Times New Roman" w:eastAsia="Times New Roman" w:hAnsi="Times New Roman" w:cs="Times New Roman"/>
                <w:b/>
                <w:bCs/>
                <w:color w:val="FFFFFF"/>
                <w:sz w:val="20"/>
                <w:szCs w:val="20"/>
                <w:lang w:eastAsia="cs-CZ"/>
              </w:rPr>
              <w:t>-</w:t>
            </w:r>
            <w:r w:rsidRPr="00A73114">
              <w:rPr>
                <w:rFonts w:ascii="Times New Roman" w:eastAsia="Times New Roman" w:hAnsi="Times New Roman" w:cs="Times New Roman"/>
                <w:b/>
                <w:bCs/>
                <w:color w:val="FFFFFF"/>
                <w:sz w:val="20"/>
                <w:szCs w:val="20"/>
                <w:lang w:eastAsia="cs-CZ"/>
              </w:rPr>
              <w:br/>
            </w:r>
            <w:proofErr w:type="spellStart"/>
            <w:r w:rsidRPr="00A73114">
              <w:rPr>
                <w:rFonts w:ascii="Times New Roman" w:eastAsia="Times New Roman" w:hAnsi="Times New Roman" w:cs="Times New Roman"/>
                <w:b/>
                <w:bCs/>
                <w:color w:val="FFFFFF"/>
                <w:sz w:val="20"/>
                <w:szCs w:val="20"/>
                <w:lang w:eastAsia="cs-CZ"/>
              </w:rPr>
              <w:t>hovalí</w:t>
            </w:r>
            <w:proofErr w:type="spellEnd"/>
          </w:p>
        </w:tc>
        <w:tc>
          <w:tcPr>
            <w:tcW w:w="575" w:type="pct"/>
            <w:tcBorders>
              <w:top w:val="single" w:sz="4" w:space="0" w:color="auto"/>
              <w:left w:val="nil"/>
              <w:bottom w:val="single" w:sz="4" w:space="0" w:color="auto"/>
              <w:right w:val="single" w:sz="4" w:space="0" w:color="auto"/>
            </w:tcBorders>
            <w:shd w:val="clear" w:color="000000" w:fill="1F497D"/>
            <w:vAlign w:val="center"/>
            <w:hideMark/>
          </w:tcPr>
          <w:p w:rsidR="00F158D7" w:rsidRPr="00A73114" w:rsidRDefault="00F158D7" w:rsidP="001E4EF8">
            <w:pPr>
              <w:spacing w:after="0" w:line="240" w:lineRule="auto"/>
              <w:rPr>
                <w:rFonts w:ascii="Times New Roman" w:eastAsia="Times New Roman" w:hAnsi="Times New Roman" w:cs="Times New Roman"/>
                <w:b/>
                <w:bCs/>
                <w:color w:val="FFFFFF"/>
                <w:sz w:val="20"/>
                <w:szCs w:val="20"/>
                <w:lang w:eastAsia="cs-CZ"/>
              </w:rPr>
            </w:pPr>
            <w:r w:rsidRPr="00A73114">
              <w:rPr>
                <w:rFonts w:ascii="Times New Roman" w:eastAsia="Times New Roman" w:hAnsi="Times New Roman" w:cs="Times New Roman"/>
                <w:b/>
                <w:bCs/>
                <w:color w:val="FFFFFF"/>
                <w:sz w:val="20"/>
                <w:szCs w:val="20"/>
                <w:lang w:eastAsia="cs-CZ"/>
              </w:rPr>
              <w:t>Přírůstek přirozený</w:t>
            </w:r>
          </w:p>
        </w:tc>
        <w:tc>
          <w:tcPr>
            <w:tcW w:w="575" w:type="pct"/>
            <w:tcBorders>
              <w:top w:val="single" w:sz="4" w:space="0" w:color="auto"/>
              <w:left w:val="nil"/>
              <w:bottom w:val="single" w:sz="4" w:space="0" w:color="auto"/>
              <w:right w:val="single" w:sz="4" w:space="0" w:color="auto"/>
            </w:tcBorders>
            <w:shd w:val="clear" w:color="000000" w:fill="1F497D"/>
            <w:vAlign w:val="center"/>
            <w:hideMark/>
          </w:tcPr>
          <w:p w:rsidR="00F158D7" w:rsidRPr="00A73114" w:rsidRDefault="00F158D7" w:rsidP="001E4EF8">
            <w:pPr>
              <w:spacing w:after="0" w:line="240" w:lineRule="auto"/>
              <w:rPr>
                <w:rFonts w:ascii="Times New Roman" w:eastAsia="Times New Roman" w:hAnsi="Times New Roman" w:cs="Times New Roman"/>
                <w:b/>
                <w:bCs/>
                <w:color w:val="FFFFFF"/>
                <w:sz w:val="20"/>
                <w:szCs w:val="20"/>
                <w:lang w:eastAsia="cs-CZ"/>
              </w:rPr>
            </w:pPr>
            <w:r w:rsidRPr="00A73114">
              <w:rPr>
                <w:rFonts w:ascii="Times New Roman" w:eastAsia="Times New Roman" w:hAnsi="Times New Roman" w:cs="Times New Roman"/>
                <w:b/>
                <w:bCs/>
                <w:color w:val="FFFFFF"/>
                <w:sz w:val="20"/>
                <w:szCs w:val="20"/>
                <w:lang w:eastAsia="cs-CZ"/>
              </w:rPr>
              <w:t>Přírůstek migrační</w:t>
            </w:r>
          </w:p>
        </w:tc>
        <w:tc>
          <w:tcPr>
            <w:tcW w:w="575" w:type="pct"/>
            <w:tcBorders>
              <w:top w:val="single" w:sz="4" w:space="0" w:color="auto"/>
              <w:left w:val="nil"/>
              <w:bottom w:val="single" w:sz="4" w:space="0" w:color="auto"/>
              <w:right w:val="single" w:sz="4" w:space="0" w:color="auto"/>
            </w:tcBorders>
            <w:shd w:val="clear" w:color="000000" w:fill="1F497D"/>
            <w:vAlign w:val="center"/>
            <w:hideMark/>
          </w:tcPr>
          <w:p w:rsidR="00F158D7" w:rsidRPr="00A73114" w:rsidRDefault="00F158D7" w:rsidP="001E4EF8">
            <w:pPr>
              <w:spacing w:after="0" w:line="240" w:lineRule="auto"/>
              <w:rPr>
                <w:rFonts w:ascii="Times New Roman" w:eastAsia="Times New Roman" w:hAnsi="Times New Roman" w:cs="Times New Roman"/>
                <w:b/>
                <w:bCs/>
                <w:color w:val="FFFFFF"/>
                <w:sz w:val="20"/>
                <w:szCs w:val="20"/>
                <w:lang w:eastAsia="cs-CZ"/>
              </w:rPr>
            </w:pPr>
            <w:r w:rsidRPr="00A73114">
              <w:rPr>
                <w:rFonts w:ascii="Times New Roman" w:eastAsia="Times New Roman" w:hAnsi="Times New Roman" w:cs="Times New Roman"/>
                <w:b/>
                <w:bCs/>
                <w:color w:val="FFFFFF"/>
                <w:sz w:val="20"/>
                <w:szCs w:val="20"/>
                <w:lang w:eastAsia="cs-CZ"/>
              </w:rPr>
              <w:t>Přírůstek celkový</w:t>
            </w:r>
          </w:p>
        </w:tc>
        <w:tc>
          <w:tcPr>
            <w:tcW w:w="575" w:type="pct"/>
            <w:tcBorders>
              <w:top w:val="single" w:sz="4" w:space="0" w:color="auto"/>
              <w:left w:val="nil"/>
              <w:bottom w:val="single" w:sz="4" w:space="0" w:color="auto"/>
              <w:right w:val="single" w:sz="4" w:space="0" w:color="auto"/>
            </w:tcBorders>
            <w:shd w:val="clear" w:color="000000" w:fill="1F497D"/>
            <w:vAlign w:val="center"/>
            <w:hideMark/>
          </w:tcPr>
          <w:p w:rsidR="00F158D7" w:rsidRPr="00A73114" w:rsidRDefault="00F158D7" w:rsidP="001E4EF8">
            <w:pPr>
              <w:spacing w:after="0" w:line="240" w:lineRule="auto"/>
              <w:rPr>
                <w:rFonts w:ascii="Times New Roman" w:eastAsia="Times New Roman" w:hAnsi="Times New Roman" w:cs="Times New Roman"/>
                <w:b/>
                <w:bCs/>
                <w:color w:val="FFFFFF"/>
                <w:sz w:val="20"/>
                <w:szCs w:val="20"/>
                <w:lang w:eastAsia="cs-CZ"/>
              </w:rPr>
            </w:pPr>
            <w:r w:rsidRPr="00A73114">
              <w:rPr>
                <w:rFonts w:ascii="Times New Roman" w:eastAsia="Times New Roman" w:hAnsi="Times New Roman" w:cs="Times New Roman"/>
                <w:b/>
                <w:bCs/>
                <w:color w:val="FFFFFF"/>
                <w:sz w:val="20"/>
                <w:szCs w:val="20"/>
                <w:lang w:eastAsia="cs-CZ"/>
              </w:rPr>
              <w:t>Stav 31.12.</w:t>
            </w:r>
          </w:p>
        </w:tc>
      </w:tr>
      <w:tr w:rsidR="00F158D7" w:rsidRPr="00A73114" w:rsidTr="001E4EF8">
        <w:trPr>
          <w:trHeight w:val="227"/>
        </w:trPr>
        <w:tc>
          <w:tcPr>
            <w:tcW w:w="399" w:type="pct"/>
            <w:tcBorders>
              <w:top w:val="nil"/>
              <w:left w:val="single" w:sz="4" w:space="0" w:color="auto"/>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b/>
                <w:bCs/>
                <w:color w:val="000000"/>
                <w:sz w:val="20"/>
                <w:szCs w:val="20"/>
                <w:lang w:eastAsia="cs-CZ"/>
              </w:rPr>
            </w:pPr>
            <w:r w:rsidRPr="00A73114">
              <w:rPr>
                <w:rFonts w:ascii="Times New Roman" w:eastAsia="Times New Roman" w:hAnsi="Times New Roman" w:cs="Times New Roman"/>
                <w:b/>
                <w:bCs/>
                <w:color w:val="000000"/>
                <w:sz w:val="20"/>
                <w:szCs w:val="20"/>
                <w:lang w:eastAsia="cs-CZ"/>
              </w:rPr>
              <w:t>2008</w:t>
            </w:r>
          </w:p>
        </w:tc>
        <w:tc>
          <w:tcPr>
            <w:tcW w:w="575"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15</w:t>
            </w:r>
          </w:p>
        </w:tc>
        <w:tc>
          <w:tcPr>
            <w:tcW w:w="575"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6</w:t>
            </w:r>
          </w:p>
        </w:tc>
        <w:tc>
          <w:tcPr>
            <w:tcW w:w="575"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40</w:t>
            </w:r>
          </w:p>
        </w:tc>
        <w:tc>
          <w:tcPr>
            <w:tcW w:w="575"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32</w:t>
            </w:r>
          </w:p>
        </w:tc>
        <w:tc>
          <w:tcPr>
            <w:tcW w:w="575"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9</w:t>
            </w:r>
          </w:p>
        </w:tc>
        <w:tc>
          <w:tcPr>
            <w:tcW w:w="575"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8</w:t>
            </w:r>
          </w:p>
        </w:tc>
        <w:tc>
          <w:tcPr>
            <w:tcW w:w="575"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17</w:t>
            </w:r>
          </w:p>
        </w:tc>
        <w:tc>
          <w:tcPr>
            <w:tcW w:w="575"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890</w:t>
            </w:r>
          </w:p>
        </w:tc>
      </w:tr>
      <w:tr w:rsidR="00F158D7" w:rsidRPr="00A73114" w:rsidTr="001E4EF8">
        <w:trPr>
          <w:trHeight w:val="227"/>
        </w:trPr>
        <w:tc>
          <w:tcPr>
            <w:tcW w:w="399" w:type="pct"/>
            <w:tcBorders>
              <w:top w:val="nil"/>
              <w:left w:val="single" w:sz="4" w:space="0" w:color="auto"/>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b/>
                <w:bCs/>
                <w:color w:val="000000"/>
                <w:sz w:val="20"/>
                <w:szCs w:val="20"/>
                <w:lang w:eastAsia="cs-CZ"/>
              </w:rPr>
            </w:pPr>
            <w:r w:rsidRPr="00A73114">
              <w:rPr>
                <w:rFonts w:ascii="Times New Roman" w:eastAsia="Times New Roman" w:hAnsi="Times New Roman" w:cs="Times New Roman"/>
                <w:b/>
                <w:bCs/>
                <w:color w:val="000000"/>
                <w:sz w:val="20"/>
                <w:szCs w:val="20"/>
                <w:lang w:eastAsia="cs-CZ"/>
              </w:rPr>
              <w:t>2009</w:t>
            </w:r>
          </w:p>
        </w:tc>
        <w:tc>
          <w:tcPr>
            <w:tcW w:w="575"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8</w:t>
            </w:r>
          </w:p>
        </w:tc>
        <w:tc>
          <w:tcPr>
            <w:tcW w:w="575"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9</w:t>
            </w:r>
          </w:p>
        </w:tc>
        <w:tc>
          <w:tcPr>
            <w:tcW w:w="575"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31</w:t>
            </w:r>
          </w:p>
        </w:tc>
        <w:tc>
          <w:tcPr>
            <w:tcW w:w="575"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45</w:t>
            </w:r>
          </w:p>
        </w:tc>
        <w:tc>
          <w:tcPr>
            <w:tcW w:w="575"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-1</w:t>
            </w:r>
          </w:p>
        </w:tc>
        <w:tc>
          <w:tcPr>
            <w:tcW w:w="575"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-14</w:t>
            </w:r>
          </w:p>
        </w:tc>
        <w:tc>
          <w:tcPr>
            <w:tcW w:w="575"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-15</w:t>
            </w:r>
          </w:p>
        </w:tc>
        <w:tc>
          <w:tcPr>
            <w:tcW w:w="575"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875</w:t>
            </w:r>
          </w:p>
        </w:tc>
      </w:tr>
      <w:tr w:rsidR="00F158D7" w:rsidRPr="00A73114" w:rsidTr="001E4EF8">
        <w:trPr>
          <w:trHeight w:val="227"/>
        </w:trPr>
        <w:tc>
          <w:tcPr>
            <w:tcW w:w="399" w:type="pct"/>
            <w:tcBorders>
              <w:top w:val="nil"/>
              <w:left w:val="single" w:sz="4" w:space="0" w:color="auto"/>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b/>
                <w:bCs/>
                <w:color w:val="000000"/>
                <w:sz w:val="20"/>
                <w:szCs w:val="20"/>
                <w:lang w:eastAsia="cs-CZ"/>
              </w:rPr>
            </w:pPr>
            <w:r w:rsidRPr="00A73114">
              <w:rPr>
                <w:rFonts w:ascii="Times New Roman" w:eastAsia="Times New Roman" w:hAnsi="Times New Roman" w:cs="Times New Roman"/>
                <w:b/>
                <w:bCs/>
                <w:color w:val="000000"/>
                <w:sz w:val="20"/>
                <w:szCs w:val="20"/>
                <w:lang w:eastAsia="cs-CZ"/>
              </w:rPr>
              <w:t>2010</w:t>
            </w:r>
          </w:p>
        </w:tc>
        <w:tc>
          <w:tcPr>
            <w:tcW w:w="575"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7</w:t>
            </w:r>
          </w:p>
        </w:tc>
        <w:tc>
          <w:tcPr>
            <w:tcW w:w="575"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7</w:t>
            </w:r>
          </w:p>
        </w:tc>
        <w:tc>
          <w:tcPr>
            <w:tcW w:w="575"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25</w:t>
            </w:r>
          </w:p>
        </w:tc>
        <w:tc>
          <w:tcPr>
            <w:tcW w:w="575"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15</w:t>
            </w:r>
          </w:p>
        </w:tc>
        <w:tc>
          <w:tcPr>
            <w:tcW w:w="575"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0</w:t>
            </w:r>
          </w:p>
        </w:tc>
        <w:tc>
          <w:tcPr>
            <w:tcW w:w="575"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10</w:t>
            </w:r>
          </w:p>
        </w:tc>
        <w:tc>
          <w:tcPr>
            <w:tcW w:w="575"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10</w:t>
            </w:r>
          </w:p>
        </w:tc>
        <w:tc>
          <w:tcPr>
            <w:tcW w:w="575"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885</w:t>
            </w:r>
          </w:p>
        </w:tc>
      </w:tr>
      <w:tr w:rsidR="00F158D7" w:rsidRPr="00A73114" w:rsidTr="001E4EF8">
        <w:trPr>
          <w:trHeight w:val="227"/>
        </w:trPr>
        <w:tc>
          <w:tcPr>
            <w:tcW w:w="399" w:type="pct"/>
            <w:tcBorders>
              <w:top w:val="nil"/>
              <w:left w:val="single" w:sz="4" w:space="0" w:color="auto"/>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b/>
                <w:bCs/>
                <w:color w:val="000000"/>
                <w:sz w:val="20"/>
                <w:szCs w:val="20"/>
                <w:lang w:eastAsia="cs-CZ"/>
              </w:rPr>
            </w:pPr>
            <w:r w:rsidRPr="00A73114">
              <w:rPr>
                <w:rFonts w:ascii="Times New Roman" w:eastAsia="Times New Roman" w:hAnsi="Times New Roman" w:cs="Times New Roman"/>
                <w:b/>
                <w:bCs/>
                <w:color w:val="000000"/>
                <w:sz w:val="20"/>
                <w:szCs w:val="20"/>
                <w:lang w:eastAsia="cs-CZ"/>
              </w:rPr>
              <w:t>2011</w:t>
            </w:r>
          </w:p>
        </w:tc>
        <w:tc>
          <w:tcPr>
            <w:tcW w:w="575"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13</w:t>
            </w:r>
          </w:p>
        </w:tc>
        <w:tc>
          <w:tcPr>
            <w:tcW w:w="575"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9</w:t>
            </w:r>
          </w:p>
        </w:tc>
        <w:tc>
          <w:tcPr>
            <w:tcW w:w="575"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20</w:t>
            </w:r>
          </w:p>
        </w:tc>
        <w:tc>
          <w:tcPr>
            <w:tcW w:w="575"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26</w:t>
            </w:r>
          </w:p>
        </w:tc>
        <w:tc>
          <w:tcPr>
            <w:tcW w:w="575"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4</w:t>
            </w:r>
          </w:p>
        </w:tc>
        <w:tc>
          <w:tcPr>
            <w:tcW w:w="575"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-6</w:t>
            </w:r>
          </w:p>
        </w:tc>
        <w:tc>
          <w:tcPr>
            <w:tcW w:w="575"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-2</w:t>
            </w:r>
          </w:p>
        </w:tc>
        <w:tc>
          <w:tcPr>
            <w:tcW w:w="575"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890</w:t>
            </w:r>
          </w:p>
        </w:tc>
      </w:tr>
      <w:tr w:rsidR="00F158D7" w:rsidRPr="00A73114" w:rsidTr="001E4EF8">
        <w:trPr>
          <w:trHeight w:val="227"/>
        </w:trPr>
        <w:tc>
          <w:tcPr>
            <w:tcW w:w="399" w:type="pct"/>
            <w:tcBorders>
              <w:top w:val="nil"/>
              <w:left w:val="single" w:sz="4" w:space="0" w:color="auto"/>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b/>
                <w:bCs/>
                <w:color w:val="000000"/>
                <w:sz w:val="20"/>
                <w:szCs w:val="20"/>
                <w:lang w:eastAsia="cs-CZ"/>
              </w:rPr>
            </w:pPr>
            <w:r w:rsidRPr="00A73114">
              <w:rPr>
                <w:rFonts w:ascii="Times New Roman" w:eastAsia="Times New Roman" w:hAnsi="Times New Roman" w:cs="Times New Roman"/>
                <w:b/>
                <w:bCs/>
                <w:color w:val="000000"/>
                <w:sz w:val="20"/>
                <w:szCs w:val="20"/>
                <w:lang w:eastAsia="cs-CZ"/>
              </w:rPr>
              <w:t>2012</w:t>
            </w:r>
          </w:p>
        </w:tc>
        <w:tc>
          <w:tcPr>
            <w:tcW w:w="575"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10</w:t>
            </w:r>
          </w:p>
        </w:tc>
        <w:tc>
          <w:tcPr>
            <w:tcW w:w="575"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11</w:t>
            </w:r>
          </w:p>
        </w:tc>
        <w:tc>
          <w:tcPr>
            <w:tcW w:w="575"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29</w:t>
            </w:r>
          </w:p>
        </w:tc>
        <w:tc>
          <w:tcPr>
            <w:tcW w:w="575"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25</w:t>
            </w:r>
          </w:p>
        </w:tc>
        <w:tc>
          <w:tcPr>
            <w:tcW w:w="575"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-1</w:t>
            </w:r>
          </w:p>
        </w:tc>
        <w:tc>
          <w:tcPr>
            <w:tcW w:w="575"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4</w:t>
            </w:r>
          </w:p>
        </w:tc>
        <w:tc>
          <w:tcPr>
            <w:tcW w:w="575"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3</w:t>
            </w:r>
          </w:p>
        </w:tc>
        <w:tc>
          <w:tcPr>
            <w:tcW w:w="575"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893</w:t>
            </w:r>
          </w:p>
        </w:tc>
      </w:tr>
      <w:tr w:rsidR="00F158D7" w:rsidRPr="00A73114" w:rsidTr="001E4EF8">
        <w:trPr>
          <w:trHeight w:val="227"/>
        </w:trPr>
        <w:tc>
          <w:tcPr>
            <w:tcW w:w="399" w:type="pct"/>
            <w:tcBorders>
              <w:top w:val="nil"/>
              <w:left w:val="single" w:sz="4" w:space="0" w:color="auto"/>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b/>
                <w:bCs/>
                <w:color w:val="000000"/>
                <w:sz w:val="20"/>
                <w:szCs w:val="20"/>
                <w:lang w:eastAsia="cs-CZ"/>
              </w:rPr>
            </w:pPr>
            <w:r w:rsidRPr="00A73114">
              <w:rPr>
                <w:rFonts w:ascii="Times New Roman" w:eastAsia="Times New Roman" w:hAnsi="Times New Roman" w:cs="Times New Roman"/>
                <w:b/>
                <w:bCs/>
                <w:color w:val="000000"/>
                <w:sz w:val="20"/>
                <w:szCs w:val="20"/>
                <w:lang w:eastAsia="cs-CZ"/>
              </w:rPr>
              <w:t>2013</w:t>
            </w:r>
          </w:p>
        </w:tc>
        <w:tc>
          <w:tcPr>
            <w:tcW w:w="575"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12</w:t>
            </w:r>
          </w:p>
        </w:tc>
        <w:tc>
          <w:tcPr>
            <w:tcW w:w="575"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8</w:t>
            </w:r>
          </w:p>
        </w:tc>
        <w:tc>
          <w:tcPr>
            <w:tcW w:w="575"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24</w:t>
            </w:r>
          </w:p>
        </w:tc>
        <w:tc>
          <w:tcPr>
            <w:tcW w:w="575"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23</w:t>
            </w:r>
          </w:p>
        </w:tc>
        <w:tc>
          <w:tcPr>
            <w:tcW w:w="575"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4</w:t>
            </w:r>
          </w:p>
        </w:tc>
        <w:tc>
          <w:tcPr>
            <w:tcW w:w="575"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1</w:t>
            </w:r>
          </w:p>
        </w:tc>
        <w:tc>
          <w:tcPr>
            <w:tcW w:w="575"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5</w:t>
            </w:r>
          </w:p>
        </w:tc>
        <w:tc>
          <w:tcPr>
            <w:tcW w:w="575"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898</w:t>
            </w:r>
          </w:p>
        </w:tc>
      </w:tr>
      <w:tr w:rsidR="00F158D7" w:rsidRPr="00A73114" w:rsidTr="001E4EF8">
        <w:trPr>
          <w:trHeight w:val="227"/>
        </w:trPr>
        <w:tc>
          <w:tcPr>
            <w:tcW w:w="399" w:type="pct"/>
            <w:tcBorders>
              <w:top w:val="nil"/>
              <w:left w:val="single" w:sz="4" w:space="0" w:color="auto"/>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b/>
                <w:bCs/>
                <w:color w:val="000000"/>
                <w:sz w:val="20"/>
                <w:szCs w:val="20"/>
                <w:lang w:eastAsia="cs-CZ"/>
              </w:rPr>
            </w:pPr>
            <w:r w:rsidRPr="00A73114">
              <w:rPr>
                <w:rFonts w:ascii="Times New Roman" w:eastAsia="Times New Roman" w:hAnsi="Times New Roman" w:cs="Times New Roman"/>
                <w:b/>
                <w:bCs/>
                <w:color w:val="000000"/>
                <w:sz w:val="20"/>
                <w:szCs w:val="20"/>
                <w:lang w:eastAsia="cs-CZ"/>
              </w:rPr>
              <w:t>2014</w:t>
            </w:r>
          </w:p>
        </w:tc>
        <w:tc>
          <w:tcPr>
            <w:tcW w:w="575"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8</w:t>
            </w:r>
          </w:p>
        </w:tc>
        <w:tc>
          <w:tcPr>
            <w:tcW w:w="575"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10</w:t>
            </w:r>
          </w:p>
        </w:tc>
        <w:tc>
          <w:tcPr>
            <w:tcW w:w="575"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34</w:t>
            </w:r>
          </w:p>
        </w:tc>
        <w:tc>
          <w:tcPr>
            <w:tcW w:w="575"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41</w:t>
            </w:r>
          </w:p>
        </w:tc>
        <w:tc>
          <w:tcPr>
            <w:tcW w:w="575"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-2</w:t>
            </w:r>
          </w:p>
        </w:tc>
        <w:tc>
          <w:tcPr>
            <w:tcW w:w="575"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-7</w:t>
            </w:r>
          </w:p>
        </w:tc>
        <w:tc>
          <w:tcPr>
            <w:tcW w:w="575"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-9</w:t>
            </w:r>
          </w:p>
        </w:tc>
        <w:tc>
          <w:tcPr>
            <w:tcW w:w="575"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889</w:t>
            </w:r>
          </w:p>
        </w:tc>
      </w:tr>
      <w:tr w:rsidR="00F158D7" w:rsidRPr="00A73114" w:rsidTr="001E4EF8">
        <w:trPr>
          <w:trHeight w:val="227"/>
        </w:trPr>
        <w:tc>
          <w:tcPr>
            <w:tcW w:w="399" w:type="pct"/>
            <w:tcBorders>
              <w:top w:val="nil"/>
              <w:left w:val="single" w:sz="4" w:space="0" w:color="auto"/>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b/>
                <w:bCs/>
                <w:color w:val="000000"/>
                <w:sz w:val="20"/>
                <w:szCs w:val="20"/>
                <w:lang w:eastAsia="cs-CZ"/>
              </w:rPr>
            </w:pPr>
            <w:r w:rsidRPr="00A73114">
              <w:rPr>
                <w:rFonts w:ascii="Times New Roman" w:eastAsia="Times New Roman" w:hAnsi="Times New Roman" w:cs="Times New Roman"/>
                <w:b/>
                <w:bCs/>
                <w:color w:val="000000"/>
                <w:sz w:val="20"/>
                <w:szCs w:val="20"/>
                <w:lang w:eastAsia="cs-CZ"/>
              </w:rPr>
              <w:t>2015</w:t>
            </w:r>
          </w:p>
        </w:tc>
        <w:tc>
          <w:tcPr>
            <w:tcW w:w="575"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10</w:t>
            </w:r>
          </w:p>
        </w:tc>
        <w:tc>
          <w:tcPr>
            <w:tcW w:w="575"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10</w:t>
            </w:r>
          </w:p>
        </w:tc>
        <w:tc>
          <w:tcPr>
            <w:tcW w:w="575"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13</w:t>
            </w:r>
          </w:p>
        </w:tc>
        <w:tc>
          <w:tcPr>
            <w:tcW w:w="575"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11</w:t>
            </w:r>
          </w:p>
        </w:tc>
        <w:tc>
          <w:tcPr>
            <w:tcW w:w="575"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0</w:t>
            </w:r>
          </w:p>
        </w:tc>
        <w:tc>
          <w:tcPr>
            <w:tcW w:w="575"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2</w:t>
            </w:r>
          </w:p>
        </w:tc>
        <w:tc>
          <w:tcPr>
            <w:tcW w:w="575"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2</w:t>
            </w:r>
          </w:p>
        </w:tc>
        <w:tc>
          <w:tcPr>
            <w:tcW w:w="575"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891</w:t>
            </w:r>
          </w:p>
        </w:tc>
      </w:tr>
      <w:tr w:rsidR="00F158D7" w:rsidRPr="00A73114" w:rsidTr="001E4EF8">
        <w:trPr>
          <w:trHeight w:val="227"/>
        </w:trPr>
        <w:tc>
          <w:tcPr>
            <w:tcW w:w="399" w:type="pct"/>
            <w:tcBorders>
              <w:top w:val="nil"/>
              <w:left w:val="single" w:sz="4" w:space="0" w:color="auto"/>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b/>
                <w:bCs/>
                <w:color w:val="000000"/>
                <w:sz w:val="20"/>
                <w:szCs w:val="20"/>
                <w:lang w:eastAsia="cs-CZ"/>
              </w:rPr>
            </w:pPr>
            <w:r w:rsidRPr="00A73114">
              <w:rPr>
                <w:rFonts w:ascii="Times New Roman" w:eastAsia="Times New Roman" w:hAnsi="Times New Roman" w:cs="Times New Roman"/>
                <w:b/>
                <w:bCs/>
                <w:color w:val="000000"/>
                <w:sz w:val="20"/>
                <w:szCs w:val="20"/>
                <w:lang w:eastAsia="cs-CZ"/>
              </w:rPr>
              <w:t>2016</w:t>
            </w:r>
          </w:p>
        </w:tc>
        <w:tc>
          <w:tcPr>
            <w:tcW w:w="575"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6</w:t>
            </w:r>
          </w:p>
        </w:tc>
        <w:tc>
          <w:tcPr>
            <w:tcW w:w="575"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8</w:t>
            </w:r>
          </w:p>
        </w:tc>
        <w:tc>
          <w:tcPr>
            <w:tcW w:w="575"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29</w:t>
            </w:r>
          </w:p>
        </w:tc>
        <w:tc>
          <w:tcPr>
            <w:tcW w:w="575"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33</w:t>
            </w:r>
          </w:p>
        </w:tc>
        <w:tc>
          <w:tcPr>
            <w:tcW w:w="575"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-2</w:t>
            </w:r>
          </w:p>
        </w:tc>
        <w:tc>
          <w:tcPr>
            <w:tcW w:w="575"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-4</w:t>
            </w:r>
          </w:p>
        </w:tc>
        <w:tc>
          <w:tcPr>
            <w:tcW w:w="575"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-6</w:t>
            </w:r>
          </w:p>
        </w:tc>
        <w:tc>
          <w:tcPr>
            <w:tcW w:w="575"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885</w:t>
            </w:r>
          </w:p>
        </w:tc>
      </w:tr>
      <w:tr w:rsidR="00F158D7" w:rsidRPr="00A73114" w:rsidTr="001E4EF8">
        <w:trPr>
          <w:trHeight w:val="227"/>
        </w:trPr>
        <w:tc>
          <w:tcPr>
            <w:tcW w:w="399" w:type="pct"/>
            <w:tcBorders>
              <w:top w:val="nil"/>
              <w:left w:val="single" w:sz="4" w:space="0" w:color="auto"/>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b/>
                <w:bCs/>
                <w:color w:val="000000"/>
                <w:sz w:val="20"/>
                <w:szCs w:val="20"/>
                <w:lang w:eastAsia="cs-CZ"/>
              </w:rPr>
            </w:pPr>
            <w:r w:rsidRPr="00A73114">
              <w:rPr>
                <w:rFonts w:ascii="Times New Roman" w:eastAsia="Times New Roman" w:hAnsi="Times New Roman" w:cs="Times New Roman"/>
                <w:b/>
                <w:bCs/>
                <w:color w:val="000000"/>
                <w:sz w:val="20"/>
                <w:szCs w:val="20"/>
                <w:lang w:eastAsia="cs-CZ"/>
              </w:rPr>
              <w:t>2017</w:t>
            </w:r>
          </w:p>
        </w:tc>
        <w:tc>
          <w:tcPr>
            <w:tcW w:w="575"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11</w:t>
            </w:r>
          </w:p>
        </w:tc>
        <w:tc>
          <w:tcPr>
            <w:tcW w:w="575"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11</w:t>
            </w:r>
          </w:p>
        </w:tc>
        <w:tc>
          <w:tcPr>
            <w:tcW w:w="575"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31</w:t>
            </w:r>
          </w:p>
        </w:tc>
        <w:tc>
          <w:tcPr>
            <w:tcW w:w="575"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21</w:t>
            </w:r>
          </w:p>
        </w:tc>
        <w:tc>
          <w:tcPr>
            <w:tcW w:w="575"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0</w:t>
            </w:r>
          </w:p>
        </w:tc>
        <w:tc>
          <w:tcPr>
            <w:tcW w:w="575"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10</w:t>
            </w:r>
          </w:p>
        </w:tc>
        <w:tc>
          <w:tcPr>
            <w:tcW w:w="575"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10</w:t>
            </w:r>
          </w:p>
        </w:tc>
        <w:tc>
          <w:tcPr>
            <w:tcW w:w="575"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895</w:t>
            </w:r>
          </w:p>
        </w:tc>
      </w:tr>
    </w:tbl>
    <w:p w:rsidR="00F158D7" w:rsidRDefault="00F158D7" w:rsidP="00F158D7">
      <w:pPr>
        <w:spacing w:after="0" w:line="240" w:lineRule="auto"/>
        <w:rPr>
          <w:rFonts w:ascii="Times New Roman" w:hAnsi="Times New Roman" w:cs="Times New Roman"/>
          <w:sz w:val="18"/>
        </w:rPr>
      </w:pPr>
    </w:p>
    <w:p w:rsidR="00F158D7" w:rsidRPr="00451446" w:rsidRDefault="00F158D7" w:rsidP="00F158D7">
      <w:pPr>
        <w:spacing w:line="240" w:lineRule="auto"/>
        <w:rPr>
          <w:rFonts w:ascii="Times New Roman" w:hAnsi="Times New Roman" w:cs="Times New Roman"/>
          <w:sz w:val="18"/>
        </w:rPr>
      </w:pPr>
      <w:r w:rsidRPr="009201EF">
        <w:rPr>
          <w:rFonts w:ascii="Times New Roman" w:hAnsi="Times New Roman" w:cs="Times New Roman"/>
          <w:sz w:val="18"/>
        </w:rPr>
        <w:t>Zdroj: ČSÚ, vlastní zpracován</w:t>
      </w:r>
      <w:r>
        <w:rPr>
          <w:rFonts w:ascii="Times New Roman" w:hAnsi="Times New Roman" w:cs="Times New Roman"/>
          <w:sz w:val="18"/>
        </w:rPr>
        <w:t>í</w:t>
      </w:r>
    </w:p>
    <w:p w:rsidR="00F158D7" w:rsidRDefault="00F158D7" w:rsidP="00F158D7">
      <w:pPr>
        <w:jc w:val="both"/>
        <w:rPr>
          <w:rFonts w:ascii="Times New Roman" w:hAnsi="Times New Roman" w:cs="Times New Roman"/>
        </w:rPr>
      </w:pPr>
    </w:p>
    <w:p w:rsidR="00F158D7" w:rsidRDefault="00F158D7" w:rsidP="00F158D7">
      <w:pPr>
        <w:jc w:val="both"/>
        <w:rPr>
          <w:rFonts w:ascii="Times New Roman" w:hAnsi="Times New Roman" w:cs="Times New Roman"/>
        </w:rPr>
      </w:pPr>
      <w:r>
        <w:rPr>
          <w:rFonts w:ascii="Times New Roman" w:hAnsi="Times New Roman" w:cs="Times New Roman"/>
        </w:rPr>
        <w:t>Přirozený přírůstek je výsledkem procesu rození a vymírání obyvatel. Z vývoje narozených je zřejmé ustálení hodnot kolem průměrné hodnoty 10 - obyvatel/rok. U zemřelých je pak tato hodnota rovna 9 obyvatelům/rok. Tento vývoj budou v dalších letech ovlivňovat  trendy v oblasti reprodukčního chování obyvatel ČR, dle kterých nelze předpokládat větší pozitivní výkyvy u narozených, spíše se bude jednat o mírný pokles. To stejné již neplatí pro hodnoty zemřelých, u kterých lze očekávat negativní výkyvy zapříčiněné silnými demografickými vlnami poválečných ročníků, které budou mít přímý vliv na záporné hodnoty přirozeného přírůstku.</w:t>
      </w:r>
    </w:p>
    <w:p w:rsidR="00F158D7" w:rsidRDefault="00F158D7" w:rsidP="00F158D7">
      <w:pPr>
        <w:jc w:val="both"/>
        <w:rPr>
          <w:rFonts w:ascii="Times New Roman" w:hAnsi="Times New Roman" w:cs="Times New Roman"/>
        </w:rPr>
      </w:pPr>
      <w:r>
        <w:rPr>
          <w:rFonts w:ascii="Times New Roman" w:hAnsi="Times New Roman" w:cs="Times New Roman"/>
        </w:rPr>
        <w:t xml:space="preserve">       </w:t>
      </w:r>
    </w:p>
    <w:p w:rsidR="00F158D7" w:rsidRDefault="00F158D7" w:rsidP="00F158D7">
      <w:pPr>
        <w:jc w:val="both"/>
        <w:rPr>
          <w:rFonts w:ascii="Times New Roman" w:hAnsi="Times New Roman" w:cs="Times New Roman"/>
        </w:rPr>
      </w:pPr>
    </w:p>
    <w:p w:rsidR="00F158D7" w:rsidRDefault="00F158D7" w:rsidP="00F158D7">
      <w:pPr>
        <w:jc w:val="both"/>
        <w:rPr>
          <w:rFonts w:ascii="Times New Roman" w:hAnsi="Times New Roman" w:cs="Times New Roman"/>
        </w:rPr>
      </w:pPr>
    </w:p>
    <w:p w:rsidR="00F158D7" w:rsidRPr="00E60A4D" w:rsidRDefault="00F158D7" w:rsidP="00F158D7">
      <w:pPr>
        <w:jc w:val="both"/>
        <w:rPr>
          <w:rFonts w:ascii="Times New Roman" w:hAnsi="Times New Roman" w:cs="Times New Roman"/>
          <w:b/>
          <w:color w:val="17365D" w:themeColor="text2" w:themeShade="BF"/>
          <w:u w:val="single"/>
        </w:rPr>
      </w:pPr>
      <w:r w:rsidRPr="00E60A4D">
        <w:rPr>
          <w:rFonts w:ascii="Times New Roman" w:hAnsi="Times New Roman" w:cs="Times New Roman"/>
          <w:b/>
          <w:color w:val="17365D" w:themeColor="text2" w:themeShade="BF"/>
          <w:u w:val="single"/>
        </w:rPr>
        <w:t>Věková struktura obyvatelstva</w:t>
      </w:r>
    </w:p>
    <w:p w:rsidR="00F158D7" w:rsidRPr="009201EF" w:rsidRDefault="00F158D7" w:rsidP="00F158D7">
      <w:pPr>
        <w:spacing w:after="0"/>
        <w:jc w:val="both"/>
        <w:rPr>
          <w:rFonts w:ascii="Times New Roman" w:hAnsi="Times New Roman" w:cs="Times New Roman"/>
        </w:rPr>
      </w:pPr>
      <w:r>
        <w:rPr>
          <w:rFonts w:ascii="Times New Roman" w:hAnsi="Times New Roman" w:cs="Times New Roman"/>
        </w:rPr>
        <w:t>Věková struktura je sledována na základních</w:t>
      </w:r>
      <w:r w:rsidRPr="009201EF">
        <w:rPr>
          <w:rFonts w:ascii="Times New Roman" w:hAnsi="Times New Roman" w:cs="Times New Roman"/>
        </w:rPr>
        <w:t xml:space="preserve"> věkových skupin</w:t>
      </w:r>
      <w:r>
        <w:rPr>
          <w:rFonts w:ascii="Times New Roman" w:hAnsi="Times New Roman" w:cs="Times New Roman"/>
        </w:rPr>
        <w:t>ách</w:t>
      </w:r>
      <w:r w:rsidRPr="009201EF">
        <w:rPr>
          <w:rFonts w:ascii="Times New Roman" w:hAnsi="Times New Roman" w:cs="Times New Roman"/>
        </w:rPr>
        <w:t>, které jsou svým rozložením ekonomické povahy. Jedná se o složku tzv. předproduktivní 0 až 14 let, produktivní 15 až 64 let</w:t>
      </w:r>
      <w:r>
        <w:rPr>
          <w:rFonts w:ascii="Times New Roman" w:hAnsi="Times New Roman" w:cs="Times New Roman"/>
        </w:rPr>
        <w:t xml:space="preserve"> a poproduktivní 65 let a více. </w:t>
      </w:r>
      <w:r w:rsidRPr="009201EF">
        <w:rPr>
          <w:rFonts w:ascii="Times New Roman" w:hAnsi="Times New Roman" w:cs="Times New Roman"/>
        </w:rPr>
        <w:t>Pro</w:t>
      </w:r>
      <w:r>
        <w:rPr>
          <w:rFonts w:ascii="Times New Roman" w:hAnsi="Times New Roman" w:cs="Times New Roman"/>
        </w:rPr>
        <w:t xml:space="preserve"> sledování vývoje</w:t>
      </w:r>
      <w:r w:rsidRPr="009201EF">
        <w:rPr>
          <w:rFonts w:ascii="Times New Roman" w:hAnsi="Times New Roman" w:cs="Times New Roman"/>
        </w:rPr>
        <w:t xml:space="preserve"> </w:t>
      </w:r>
      <w:r>
        <w:rPr>
          <w:rFonts w:ascii="Times New Roman" w:hAnsi="Times New Roman" w:cs="Times New Roman"/>
        </w:rPr>
        <w:t>jsou použity</w:t>
      </w:r>
      <w:r w:rsidRPr="009201EF">
        <w:rPr>
          <w:rFonts w:ascii="Times New Roman" w:hAnsi="Times New Roman" w:cs="Times New Roman"/>
        </w:rPr>
        <w:t xml:space="preserve"> milníky</w:t>
      </w:r>
      <w:r>
        <w:rPr>
          <w:rFonts w:ascii="Times New Roman" w:hAnsi="Times New Roman" w:cs="Times New Roman"/>
        </w:rPr>
        <w:t xml:space="preserve"> SLDB 2001, 2011 a aktuálně rok 2017</w:t>
      </w:r>
      <w:r w:rsidRPr="009201EF">
        <w:rPr>
          <w:rFonts w:ascii="Times New Roman" w:hAnsi="Times New Roman" w:cs="Times New Roman"/>
        </w:rPr>
        <w:t xml:space="preserve">. </w:t>
      </w:r>
    </w:p>
    <w:p w:rsidR="00F158D7" w:rsidRPr="009201EF" w:rsidRDefault="00F158D7" w:rsidP="00F158D7">
      <w:pPr>
        <w:spacing w:after="0" w:line="240" w:lineRule="auto"/>
        <w:jc w:val="both"/>
        <w:rPr>
          <w:rFonts w:ascii="Times New Roman" w:hAnsi="Times New Roman" w:cs="Times New Roman"/>
        </w:rPr>
      </w:pPr>
    </w:p>
    <w:p w:rsidR="00F158D7" w:rsidRDefault="00F158D7" w:rsidP="00F158D7">
      <w:pPr>
        <w:spacing w:after="0" w:line="240" w:lineRule="auto"/>
        <w:rPr>
          <w:rFonts w:ascii="Times New Roman" w:hAnsi="Times New Roman" w:cs="Times New Roman"/>
          <w:sz w:val="18"/>
        </w:rPr>
      </w:pPr>
      <w:r>
        <w:rPr>
          <w:rFonts w:ascii="Times New Roman" w:hAnsi="Times New Roman" w:cs="Times New Roman"/>
          <w:sz w:val="18"/>
        </w:rPr>
        <w:t>Tabulka:</w:t>
      </w:r>
      <w:r w:rsidRPr="009201EF">
        <w:rPr>
          <w:rFonts w:ascii="Times New Roman" w:hAnsi="Times New Roman" w:cs="Times New Roman"/>
          <w:sz w:val="18"/>
        </w:rPr>
        <w:t xml:space="preserve"> Územn</w:t>
      </w:r>
      <w:r>
        <w:rPr>
          <w:rFonts w:ascii="Times New Roman" w:hAnsi="Times New Roman" w:cs="Times New Roman"/>
          <w:sz w:val="18"/>
        </w:rPr>
        <w:t>í srovnání vývoje dle produktivních</w:t>
      </w:r>
      <w:r w:rsidRPr="009201EF">
        <w:rPr>
          <w:rFonts w:ascii="Times New Roman" w:hAnsi="Times New Roman" w:cs="Times New Roman"/>
          <w:sz w:val="18"/>
        </w:rPr>
        <w:t xml:space="preserve"> věkových </w:t>
      </w:r>
      <w:r>
        <w:rPr>
          <w:rFonts w:ascii="Times New Roman" w:hAnsi="Times New Roman" w:cs="Times New Roman"/>
          <w:sz w:val="18"/>
        </w:rPr>
        <w:t>skupin a pohlaví v letech 2001, 2011, 2017</w:t>
      </w:r>
    </w:p>
    <w:tbl>
      <w:tblPr>
        <w:tblW w:w="5000" w:type="pct"/>
        <w:tblCellMar>
          <w:left w:w="70" w:type="dxa"/>
          <w:right w:w="70" w:type="dxa"/>
        </w:tblCellMar>
        <w:tblLook w:val="04A0" w:firstRow="1" w:lastRow="0" w:firstColumn="1" w:lastColumn="0" w:noHBand="0" w:noVBand="1"/>
      </w:tblPr>
      <w:tblGrid>
        <w:gridCol w:w="2463"/>
        <w:gridCol w:w="730"/>
        <w:gridCol w:w="898"/>
        <w:gridCol w:w="559"/>
        <w:gridCol w:w="731"/>
        <w:gridCol w:w="898"/>
        <w:gridCol w:w="559"/>
        <w:gridCol w:w="744"/>
        <w:gridCol w:w="914"/>
        <w:gridCol w:w="566"/>
      </w:tblGrid>
      <w:tr w:rsidR="00F158D7" w:rsidRPr="00A73114" w:rsidTr="001E4EF8">
        <w:trPr>
          <w:trHeight w:val="255"/>
        </w:trPr>
        <w:tc>
          <w:tcPr>
            <w:tcW w:w="867" w:type="pct"/>
            <w:vMerge w:val="restart"/>
            <w:tcBorders>
              <w:top w:val="single" w:sz="4" w:space="0" w:color="auto"/>
              <w:left w:val="single" w:sz="4" w:space="0" w:color="auto"/>
              <w:bottom w:val="single" w:sz="4" w:space="0" w:color="auto"/>
              <w:right w:val="single" w:sz="4" w:space="0" w:color="auto"/>
            </w:tcBorders>
            <w:shd w:val="clear" w:color="000000" w:fill="1F497D"/>
            <w:noWrap/>
            <w:vAlign w:val="center"/>
            <w:hideMark/>
          </w:tcPr>
          <w:p w:rsidR="00F158D7" w:rsidRPr="00A73114" w:rsidRDefault="00F158D7" w:rsidP="001E4EF8">
            <w:pPr>
              <w:spacing w:after="0" w:line="240" w:lineRule="auto"/>
              <w:jc w:val="center"/>
              <w:rPr>
                <w:rFonts w:ascii="Times New Roman" w:eastAsia="Times New Roman" w:hAnsi="Times New Roman" w:cs="Times New Roman"/>
                <w:b/>
                <w:bCs/>
                <w:color w:val="FFFFFF"/>
                <w:sz w:val="20"/>
                <w:szCs w:val="20"/>
                <w:lang w:eastAsia="cs-CZ"/>
              </w:rPr>
            </w:pPr>
            <w:r w:rsidRPr="00A73114">
              <w:rPr>
                <w:rFonts w:ascii="Times New Roman" w:eastAsia="Times New Roman" w:hAnsi="Times New Roman" w:cs="Times New Roman"/>
                <w:b/>
                <w:bCs/>
                <w:color w:val="FFFFFF"/>
                <w:sz w:val="20"/>
                <w:szCs w:val="20"/>
                <w:lang w:eastAsia="cs-CZ"/>
              </w:rPr>
              <w:t>Rok</w:t>
            </w:r>
          </w:p>
        </w:tc>
        <w:tc>
          <w:tcPr>
            <w:tcW w:w="1370" w:type="pct"/>
            <w:gridSpan w:val="3"/>
            <w:tcBorders>
              <w:top w:val="single" w:sz="4" w:space="0" w:color="auto"/>
              <w:left w:val="nil"/>
              <w:bottom w:val="single" w:sz="4" w:space="0" w:color="auto"/>
              <w:right w:val="single" w:sz="4" w:space="0" w:color="auto"/>
            </w:tcBorders>
            <w:shd w:val="clear" w:color="000000" w:fill="1F497D"/>
            <w:noWrap/>
            <w:vAlign w:val="center"/>
            <w:hideMark/>
          </w:tcPr>
          <w:p w:rsidR="00F158D7" w:rsidRPr="00A73114" w:rsidRDefault="00F158D7" w:rsidP="001E4EF8">
            <w:pPr>
              <w:spacing w:after="0" w:line="240" w:lineRule="auto"/>
              <w:jc w:val="center"/>
              <w:rPr>
                <w:rFonts w:ascii="Times New Roman" w:eastAsia="Times New Roman" w:hAnsi="Times New Roman" w:cs="Times New Roman"/>
                <w:b/>
                <w:bCs/>
                <w:color w:val="FFFFFF"/>
                <w:sz w:val="20"/>
                <w:szCs w:val="20"/>
                <w:lang w:eastAsia="cs-CZ"/>
              </w:rPr>
            </w:pPr>
            <w:r w:rsidRPr="00A73114">
              <w:rPr>
                <w:rFonts w:ascii="Times New Roman" w:eastAsia="Times New Roman" w:hAnsi="Times New Roman" w:cs="Times New Roman"/>
                <w:b/>
                <w:bCs/>
                <w:color w:val="FFFFFF"/>
                <w:sz w:val="20"/>
                <w:szCs w:val="20"/>
                <w:lang w:eastAsia="cs-CZ"/>
              </w:rPr>
              <w:t>2001</w:t>
            </w:r>
          </w:p>
        </w:tc>
        <w:tc>
          <w:tcPr>
            <w:tcW w:w="1370" w:type="pct"/>
            <w:gridSpan w:val="3"/>
            <w:tcBorders>
              <w:top w:val="single" w:sz="4" w:space="0" w:color="auto"/>
              <w:left w:val="nil"/>
              <w:bottom w:val="single" w:sz="4" w:space="0" w:color="auto"/>
              <w:right w:val="single" w:sz="4" w:space="0" w:color="auto"/>
            </w:tcBorders>
            <w:shd w:val="clear" w:color="000000" w:fill="1F497D"/>
            <w:noWrap/>
            <w:vAlign w:val="center"/>
            <w:hideMark/>
          </w:tcPr>
          <w:p w:rsidR="00F158D7" w:rsidRPr="00A73114" w:rsidRDefault="00F158D7" w:rsidP="001E4EF8">
            <w:pPr>
              <w:spacing w:after="0" w:line="240" w:lineRule="auto"/>
              <w:jc w:val="center"/>
              <w:rPr>
                <w:rFonts w:ascii="Times New Roman" w:eastAsia="Times New Roman" w:hAnsi="Times New Roman" w:cs="Times New Roman"/>
                <w:b/>
                <w:bCs/>
                <w:color w:val="FFFFFF"/>
                <w:sz w:val="20"/>
                <w:szCs w:val="20"/>
                <w:lang w:eastAsia="cs-CZ"/>
              </w:rPr>
            </w:pPr>
            <w:r w:rsidRPr="00A73114">
              <w:rPr>
                <w:rFonts w:ascii="Times New Roman" w:eastAsia="Times New Roman" w:hAnsi="Times New Roman" w:cs="Times New Roman"/>
                <w:b/>
                <w:bCs/>
                <w:color w:val="FFFFFF"/>
                <w:sz w:val="20"/>
                <w:szCs w:val="20"/>
                <w:lang w:eastAsia="cs-CZ"/>
              </w:rPr>
              <w:t>2011</w:t>
            </w:r>
          </w:p>
        </w:tc>
        <w:tc>
          <w:tcPr>
            <w:tcW w:w="1393" w:type="pct"/>
            <w:gridSpan w:val="3"/>
            <w:tcBorders>
              <w:top w:val="single" w:sz="4" w:space="0" w:color="auto"/>
              <w:left w:val="nil"/>
              <w:bottom w:val="single" w:sz="4" w:space="0" w:color="auto"/>
              <w:right w:val="single" w:sz="4" w:space="0" w:color="auto"/>
            </w:tcBorders>
            <w:shd w:val="clear" w:color="000000" w:fill="1F497D"/>
            <w:noWrap/>
            <w:vAlign w:val="center"/>
            <w:hideMark/>
          </w:tcPr>
          <w:p w:rsidR="00F158D7" w:rsidRPr="00A73114" w:rsidRDefault="00F158D7" w:rsidP="001E4EF8">
            <w:pPr>
              <w:spacing w:after="0" w:line="240" w:lineRule="auto"/>
              <w:jc w:val="center"/>
              <w:rPr>
                <w:rFonts w:ascii="Times New Roman" w:eastAsia="Times New Roman" w:hAnsi="Times New Roman" w:cs="Times New Roman"/>
                <w:b/>
                <w:bCs/>
                <w:color w:val="FFFFFF"/>
                <w:sz w:val="20"/>
                <w:szCs w:val="20"/>
                <w:lang w:eastAsia="cs-CZ"/>
              </w:rPr>
            </w:pPr>
            <w:r w:rsidRPr="00A73114">
              <w:rPr>
                <w:rFonts w:ascii="Times New Roman" w:eastAsia="Times New Roman" w:hAnsi="Times New Roman" w:cs="Times New Roman"/>
                <w:b/>
                <w:bCs/>
                <w:color w:val="FFFFFF"/>
                <w:sz w:val="20"/>
                <w:szCs w:val="20"/>
                <w:lang w:eastAsia="cs-CZ"/>
              </w:rPr>
              <w:t>2017</w:t>
            </w:r>
          </w:p>
        </w:tc>
      </w:tr>
      <w:tr w:rsidR="00F158D7" w:rsidRPr="00A73114" w:rsidTr="001E4EF8">
        <w:trPr>
          <w:trHeight w:val="255"/>
        </w:trPr>
        <w:tc>
          <w:tcPr>
            <w:tcW w:w="867" w:type="pct"/>
            <w:vMerge/>
            <w:tcBorders>
              <w:top w:val="single" w:sz="4" w:space="0" w:color="auto"/>
              <w:left w:val="single" w:sz="4" w:space="0" w:color="auto"/>
              <w:bottom w:val="single" w:sz="4" w:space="0" w:color="auto"/>
              <w:right w:val="single" w:sz="4" w:space="0" w:color="auto"/>
            </w:tcBorders>
            <w:vAlign w:val="center"/>
            <w:hideMark/>
          </w:tcPr>
          <w:p w:rsidR="00F158D7" w:rsidRPr="00A73114" w:rsidRDefault="00F158D7" w:rsidP="001E4EF8">
            <w:pPr>
              <w:spacing w:after="0" w:line="240" w:lineRule="auto"/>
              <w:rPr>
                <w:rFonts w:ascii="Times New Roman" w:eastAsia="Times New Roman" w:hAnsi="Times New Roman" w:cs="Times New Roman"/>
                <w:b/>
                <w:bCs/>
                <w:color w:val="FFFFFF"/>
                <w:sz w:val="20"/>
                <w:szCs w:val="20"/>
                <w:lang w:eastAsia="cs-CZ"/>
              </w:rPr>
            </w:pPr>
          </w:p>
        </w:tc>
        <w:tc>
          <w:tcPr>
            <w:tcW w:w="458" w:type="pct"/>
            <w:tcBorders>
              <w:top w:val="nil"/>
              <w:left w:val="nil"/>
              <w:bottom w:val="single" w:sz="4" w:space="0" w:color="auto"/>
              <w:right w:val="single" w:sz="4" w:space="0" w:color="auto"/>
            </w:tcBorders>
            <w:shd w:val="clear" w:color="000000" w:fill="1F497D"/>
            <w:noWrap/>
            <w:vAlign w:val="center"/>
            <w:hideMark/>
          </w:tcPr>
          <w:p w:rsidR="00F158D7" w:rsidRPr="00A73114" w:rsidRDefault="00F158D7" w:rsidP="001E4EF8">
            <w:pPr>
              <w:spacing w:after="0" w:line="240" w:lineRule="auto"/>
              <w:jc w:val="center"/>
              <w:rPr>
                <w:rFonts w:ascii="Times New Roman" w:eastAsia="Times New Roman" w:hAnsi="Times New Roman" w:cs="Times New Roman"/>
                <w:b/>
                <w:bCs/>
                <w:color w:val="FFFFFF"/>
                <w:sz w:val="20"/>
                <w:szCs w:val="20"/>
                <w:lang w:eastAsia="cs-CZ"/>
              </w:rPr>
            </w:pPr>
            <w:r w:rsidRPr="00A73114">
              <w:rPr>
                <w:rFonts w:ascii="Times New Roman" w:eastAsia="Times New Roman" w:hAnsi="Times New Roman" w:cs="Times New Roman"/>
                <w:b/>
                <w:bCs/>
                <w:color w:val="FFFFFF"/>
                <w:sz w:val="20"/>
                <w:szCs w:val="20"/>
                <w:lang w:eastAsia="cs-CZ"/>
              </w:rPr>
              <w:t>0 - 14</w:t>
            </w:r>
          </w:p>
        </w:tc>
        <w:tc>
          <w:tcPr>
            <w:tcW w:w="550" w:type="pct"/>
            <w:tcBorders>
              <w:top w:val="nil"/>
              <w:left w:val="nil"/>
              <w:bottom w:val="single" w:sz="4" w:space="0" w:color="auto"/>
              <w:right w:val="single" w:sz="4" w:space="0" w:color="auto"/>
            </w:tcBorders>
            <w:shd w:val="clear" w:color="000000" w:fill="1F497D"/>
            <w:noWrap/>
            <w:vAlign w:val="center"/>
            <w:hideMark/>
          </w:tcPr>
          <w:p w:rsidR="00F158D7" w:rsidRPr="00A73114" w:rsidRDefault="00F158D7" w:rsidP="001E4EF8">
            <w:pPr>
              <w:spacing w:after="0" w:line="240" w:lineRule="auto"/>
              <w:jc w:val="center"/>
              <w:rPr>
                <w:rFonts w:ascii="Times New Roman" w:eastAsia="Times New Roman" w:hAnsi="Times New Roman" w:cs="Times New Roman"/>
                <w:b/>
                <w:bCs/>
                <w:color w:val="FFFFFF"/>
                <w:sz w:val="20"/>
                <w:szCs w:val="20"/>
                <w:lang w:eastAsia="cs-CZ"/>
              </w:rPr>
            </w:pPr>
            <w:r w:rsidRPr="00A73114">
              <w:rPr>
                <w:rFonts w:ascii="Times New Roman" w:eastAsia="Times New Roman" w:hAnsi="Times New Roman" w:cs="Times New Roman"/>
                <w:b/>
                <w:bCs/>
                <w:color w:val="FFFFFF"/>
                <w:sz w:val="20"/>
                <w:szCs w:val="20"/>
                <w:lang w:eastAsia="cs-CZ"/>
              </w:rPr>
              <w:t>15 - 64</w:t>
            </w:r>
          </w:p>
        </w:tc>
        <w:tc>
          <w:tcPr>
            <w:tcW w:w="363" w:type="pct"/>
            <w:tcBorders>
              <w:top w:val="nil"/>
              <w:left w:val="nil"/>
              <w:bottom w:val="single" w:sz="4" w:space="0" w:color="auto"/>
              <w:right w:val="single" w:sz="4" w:space="0" w:color="auto"/>
            </w:tcBorders>
            <w:shd w:val="clear" w:color="000000" w:fill="1F497D"/>
            <w:noWrap/>
            <w:vAlign w:val="center"/>
            <w:hideMark/>
          </w:tcPr>
          <w:p w:rsidR="00F158D7" w:rsidRPr="00A73114" w:rsidRDefault="00F158D7" w:rsidP="001E4EF8">
            <w:pPr>
              <w:spacing w:after="0" w:line="240" w:lineRule="auto"/>
              <w:jc w:val="center"/>
              <w:rPr>
                <w:rFonts w:ascii="Times New Roman" w:eastAsia="Times New Roman" w:hAnsi="Times New Roman" w:cs="Times New Roman"/>
                <w:b/>
                <w:bCs/>
                <w:color w:val="FFFFFF"/>
                <w:sz w:val="20"/>
                <w:szCs w:val="20"/>
                <w:lang w:eastAsia="cs-CZ"/>
              </w:rPr>
            </w:pPr>
            <w:r w:rsidRPr="00A73114">
              <w:rPr>
                <w:rFonts w:ascii="Times New Roman" w:eastAsia="Times New Roman" w:hAnsi="Times New Roman" w:cs="Times New Roman"/>
                <w:b/>
                <w:bCs/>
                <w:color w:val="FFFFFF"/>
                <w:sz w:val="20"/>
                <w:szCs w:val="20"/>
                <w:lang w:eastAsia="cs-CZ"/>
              </w:rPr>
              <w:t>65 +</w:t>
            </w:r>
          </w:p>
        </w:tc>
        <w:tc>
          <w:tcPr>
            <w:tcW w:w="458" w:type="pct"/>
            <w:tcBorders>
              <w:top w:val="nil"/>
              <w:left w:val="nil"/>
              <w:bottom w:val="single" w:sz="4" w:space="0" w:color="auto"/>
              <w:right w:val="single" w:sz="4" w:space="0" w:color="auto"/>
            </w:tcBorders>
            <w:shd w:val="clear" w:color="000000" w:fill="1F497D"/>
            <w:noWrap/>
            <w:vAlign w:val="center"/>
            <w:hideMark/>
          </w:tcPr>
          <w:p w:rsidR="00F158D7" w:rsidRPr="00A73114" w:rsidRDefault="00F158D7" w:rsidP="001E4EF8">
            <w:pPr>
              <w:spacing w:after="0" w:line="240" w:lineRule="auto"/>
              <w:jc w:val="center"/>
              <w:rPr>
                <w:rFonts w:ascii="Times New Roman" w:eastAsia="Times New Roman" w:hAnsi="Times New Roman" w:cs="Times New Roman"/>
                <w:b/>
                <w:bCs/>
                <w:color w:val="FFFFFF"/>
                <w:sz w:val="20"/>
                <w:szCs w:val="20"/>
                <w:lang w:eastAsia="cs-CZ"/>
              </w:rPr>
            </w:pPr>
            <w:r w:rsidRPr="00A73114">
              <w:rPr>
                <w:rFonts w:ascii="Times New Roman" w:eastAsia="Times New Roman" w:hAnsi="Times New Roman" w:cs="Times New Roman"/>
                <w:b/>
                <w:bCs/>
                <w:color w:val="FFFFFF"/>
                <w:sz w:val="20"/>
                <w:szCs w:val="20"/>
                <w:lang w:eastAsia="cs-CZ"/>
              </w:rPr>
              <w:t>0 - 14</w:t>
            </w:r>
          </w:p>
        </w:tc>
        <w:tc>
          <w:tcPr>
            <w:tcW w:w="550" w:type="pct"/>
            <w:tcBorders>
              <w:top w:val="nil"/>
              <w:left w:val="nil"/>
              <w:bottom w:val="single" w:sz="4" w:space="0" w:color="auto"/>
              <w:right w:val="single" w:sz="4" w:space="0" w:color="auto"/>
            </w:tcBorders>
            <w:shd w:val="clear" w:color="000000" w:fill="1F497D"/>
            <w:noWrap/>
            <w:vAlign w:val="center"/>
            <w:hideMark/>
          </w:tcPr>
          <w:p w:rsidR="00F158D7" w:rsidRPr="00A73114" w:rsidRDefault="00F158D7" w:rsidP="001E4EF8">
            <w:pPr>
              <w:spacing w:after="0" w:line="240" w:lineRule="auto"/>
              <w:jc w:val="center"/>
              <w:rPr>
                <w:rFonts w:ascii="Times New Roman" w:eastAsia="Times New Roman" w:hAnsi="Times New Roman" w:cs="Times New Roman"/>
                <w:b/>
                <w:bCs/>
                <w:color w:val="FFFFFF"/>
                <w:sz w:val="20"/>
                <w:szCs w:val="20"/>
                <w:lang w:eastAsia="cs-CZ"/>
              </w:rPr>
            </w:pPr>
            <w:r w:rsidRPr="00A73114">
              <w:rPr>
                <w:rFonts w:ascii="Times New Roman" w:eastAsia="Times New Roman" w:hAnsi="Times New Roman" w:cs="Times New Roman"/>
                <w:b/>
                <w:bCs/>
                <w:color w:val="FFFFFF"/>
                <w:sz w:val="20"/>
                <w:szCs w:val="20"/>
                <w:lang w:eastAsia="cs-CZ"/>
              </w:rPr>
              <w:t>15 - 64</w:t>
            </w:r>
          </w:p>
        </w:tc>
        <w:tc>
          <w:tcPr>
            <w:tcW w:w="363" w:type="pct"/>
            <w:tcBorders>
              <w:top w:val="nil"/>
              <w:left w:val="nil"/>
              <w:bottom w:val="single" w:sz="4" w:space="0" w:color="auto"/>
              <w:right w:val="single" w:sz="4" w:space="0" w:color="auto"/>
            </w:tcBorders>
            <w:shd w:val="clear" w:color="000000" w:fill="1F497D"/>
            <w:noWrap/>
            <w:vAlign w:val="center"/>
            <w:hideMark/>
          </w:tcPr>
          <w:p w:rsidR="00F158D7" w:rsidRPr="00A73114" w:rsidRDefault="00F158D7" w:rsidP="001E4EF8">
            <w:pPr>
              <w:spacing w:after="0" w:line="240" w:lineRule="auto"/>
              <w:jc w:val="center"/>
              <w:rPr>
                <w:rFonts w:ascii="Times New Roman" w:eastAsia="Times New Roman" w:hAnsi="Times New Roman" w:cs="Times New Roman"/>
                <w:b/>
                <w:bCs/>
                <w:color w:val="FFFFFF"/>
                <w:sz w:val="20"/>
                <w:szCs w:val="20"/>
                <w:lang w:eastAsia="cs-CZ"/>
              </w:rPr>
            </w:pPr>
            <w:r w:rsidRPr="00A73114">
              <w:rPr>
                <w:rFonts w:ascii="Times New Roman" w:eastAsia="Times New Roman" w:hAnsi="Times New Roman" w:cs="Times New Roman"/>
                <w:b/>
                <w:bCs/>
                <w:color w:val="FFFFFF"/>
                <w:sz w:val="20"/>
                <w:szCs w:val="20"/>
                <w:lang w:eastAsia="cs-CZ"/>
              </w:rPr>
              <w:t>65 +</w:t>
            </w:r>
          </w:p>
        </w:tc>
        <w:tc>
          <w:tcPr>
            <w:tcW w:w="465" w:type="pct"/>
            <w:tcBorders>
              <w:top w:val="nil"/>
              <w:left w:val="nil"/>
              <w:bottom w:val="single" w:sz="4" w:space="0" w:color="auto"/>
              <w:right w:val="single" w:sz="4" w:space="0" w:color="auto"/>
            </w:tcBorders>
            <w:shd w:val="clear" w:color="000000" w:fill="1F497D"/>
            <w:noWrap/>
            <w:vAlign w:val="center"/>
            <w:hideMark/>
          </w:tcPr>
          <w:p w:rsidR="00F158D7" w:rsidRPr="00A73114" w:rsidRDefault="00F158D7" w:rsidP="001E4EF8">
            <w:pPr>
              <w:spacing w:after="0" w:line="240" w:lineRule="auto"/>
              <w:jc w:val="center"/>
              <w:rPr>
                <w:rFonts w:ascii="Times New Roman" w:eastAsia="Times New Roman" w:hAnsi="Times New Roman" w:cs="Times New Roman"/>
                <w:b/>
                <w:bCs/>
                <w:color w:val="FFFFFF"/>
                <w:sz w:val="20"/>
                <w:szCs w:val="20"/>
                <w:lang w:eastAsia="cs-CZ"/>
              </w:rPr>
            </w:pPr>
            <w:r w:rsidRPr="00A73114">
              <w:rPr>
                <w:rFonts w:ascii="Times New Roman" w:eastAsia="Times New Roman" w:hAnsi="Times New Roman" w:cs="Times New Roman"/>
                <w:b/>
                <w:bCs/>
                <w:color w:val="FFFFFF"/>
                <w:sz w:val="20"/>
                <w:szCs w:val="20"/>
                <w:lang w:eastAsia="cs-CZ"/>
              </w:rPr>
              <w:t>0 - 14</w:t>
            </w:r>
          </w:p>
        </w:tc>
        <w:tc>
          <w:tcPr>
            <w:tcW w:w="559" w:type="pct"/>
            <w:tcBorders>
              <w:top w:val="nil"/>
              <w:left w:val="nil"/>
              <w:bottom w:val="single" w:sz="4" w:space="0" w:color="auto"/>
              <w:right w:val="single" w:sz="4" w:space="0" w:color="auto"/>
            </w:tcBorders>
            <w:shd w:val="clear" w:color="000000" w:fill="1F497D"/>
            <w:noWrap/>
            <w:vAlign w:val="center"/>
            <w:hideMark/>
          </w:tcPr>
          <w:p w:rsidR="00F158D7" w:rsidRPr="00A73114" w:rsidRDefault="00F158D7" w:rsidP="001E4EF8">
            <w:pPr>
              <w:spacing w:after="0" w:line="240" w:lineRule="auto"/>
              <w:jc w:val="center"/>
              <w:rPr>
                <w:rFonts w:ascii="Times New Roman" w:eastAsia="Times New Roman" w:hAnsi="Times New Roman" w:cs="Times New Roman"/>
                <w:b/>
                <w:bCs/>
                <w:color w:val="FFFFFF"/>
                <w:sz w:val="20"/>
                <w:szCs w:val="20"/>
                <w:lang w:eastAsia="cs-CZ"/>
              </w:rPr>
            </w:pPr>
            <w:r w:rsidRPr="00A73114">
              <w:rPr>
                <w:rFonts w:ascii="Times New Roman" w:eastAsia="Times New Roman" w:hAnsi="Times New Roman" w:cs="Times New Roman"/>
                <w:b/>
                <w:bCs/>
                <w:color w:val="FFFFFF"/>
                <w:sz w:val="20"/>
                <w:szCs w:val="20"/>
                <w:lang w:eastAsia="cs-CZ"/>
              </w:rPr>
              <w:t>15 - 64</w:t>
            </w:r>
          </w:p>
        </w:tc>
        <w:tc>
          <w:tcPr>
            <w:tcW w:w="369" w:type="pct"/>
            <w:tcBorders>
              <w:top w:val="nil"/>
              <w:left w:val="nil"/>
              <w:bottom w:val="single" w:sz="4" w:space="0" w:color="auto"/>
              <w:right w:val="single" w:sz="4" w:space="0" w:color="auto"/>
            </w:tcBorders>
            <w:shd w:val="clear" w:color="000000" w:fill="1F497D"/>
            <w:noWrap/>
            <w:vAlign w:val="center"/>
            <w:hideMark/>
          </w:tcPr>
          <w:p w:rsidR="00F158D7" w:rsidRPr="00A73114" w:rsidRDefault="00F158D7" w:rsidP="001E4EF8">
            <w:pPr>
              <w:spacing w:after="0" w:line="240" w:lineRule="auto"/>
              <w:jc w:val="center"/>
              <w:rPr>
                <w:rFonts w:ascii="Times New Roman" w:eastAsia="Times New Roman" w:hAnsi="Times New Roman" w:cs="Times New Roman"/>
                <w:b/>
                <w:bCs/>
                <w:color w:val="FFFFFF"/>
                <w:sz w:val="20"/>
                <w:szCs w:val="20"/>
                <w:lang w:eastAsia="cs-CZ"/>
              </w:rPr>
            </w:pPr>
            <w:r w:rsidRPr="00A73114">
              <w:rPr>
                <w:rFonts w:ascii="Times New Roman" w:eastAsia="Times New Roman" w:hAnsi="Times New Roman" w:cs="Times New Roman"/>
                <w:b/>
                <w:bCs/>
                <w:color w:val="FFFFFF"/>
                <w:sz w:val="20"/>
                <w:szCs w:val="20"/>
                <w:lang w:eastAsia="cs-CZ"/>
              </w:rPr>
              <w:t>65 +</w:t>
            </w:r>
          </w:p>
        </w:tc>
      </w:tr>
      <w:tr w:rsidR="00F158D7" w:rsidRPr="00A73114" w:rsidTr="001E4EF8">
        <w:trPr>
          <w:trHeight w:val="227"/>
        </w:trPr>
        <w:tc>
          <w:tcPr>
            <w:tcW w:w="867" w:type="pct"/>
            <w:tcBorders>
              <w:top w:val="nil"/>
              <w:left w:val="single" w:sz="4" w:space="0" w:color="auto"/>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rPr>
                <w:rFonts w:ascii="Times New Roman" w:eastAsia="Times New Roman" w:hAnsi="Times New Roman" w:cs="Times New Roman"/>
                <w:b/>
                <w:bCs/>
                <w:color w:val="000000"/>
                <w:sz w:val="20"/>
                <w:szCs w:val="20"/>
                <w:lang w:eastAsia="cs-CZ"/>
              </w:rPr>
            </w:pPr>
            <w:r w:rsidRPr="00A73114">
              <w:rPr>
                <w:rFonts w:ascii="Times New Roman" w:eastAsia="Times New Roman" w:hAnsi="Times New Roman" w:cs="Times New Roman"/>
                <w:b/>
                <w:bCs/>
                <w:color w:val="000000"/>
                <w:sz w:val="20"/>
                <w:szCs w:val="20"/>
                <w:lang w:eastAsia="cs-CZ"/>
              </w:rPr>
              <w:t>Zásada</w:t>
            </w:r>
          </w:p>
        </w:tc>
        <w:tc>
          <w:tcPr>
            <w:tcW w:w="458"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115</w:t>
            </w:r>
          </w:p>
        </w:tc>
        <w:tc>
          <w:tcPr>
            <w:tcW w:w="550"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575</w:t>
            </w:r>
          </w:p>
        </w:tc>
        <w:tc>
          <w:tcPr>
            <w:tcW w:w="363"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159</w:t>
            </w:r>
          </w:p>
        </w:tc>
        <w:tc>
          <w:tcPr>
            <w:tcW w:w="458"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126</w:t>
            </w:r>
          </w:p>
        </w:tc>
        <w:tc>
          <w:tcPr>
            <w:tcW w:w="550"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605</w:t>
            </w:r>
          </w:p>
        </w:tc>
        <w:tc>
          <w:tcPr>
            <w:tcW w:w="363"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159</w:t>
            </w:r>
          </w:p>
        </w:tc>
        <w:tc>
          <w:tcPr>
            <w:tcW w:w="465"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146</w:t>
            </w:r>
          </w:p>
        </w:tc>
        <w:tc>
          <w:tcPr>
            <w:tcW w:w="559"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561</w:t>
            </w:r>
          </w:p>
        </w:tc>
        <w:tc>
          <w:tcPr>
            <w:tcW w:w="369"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188</w:t>
            </w:r>
          </w:p>
        </w:tc>
      </w:tr>
      <w:tr w:rsidR="00F158D7" w:rsidRPr="00A73114" w:rsidTr="001E4EF8">
        <w:trPr>
          <w:trHeight w:val="227"/>
        </w:trPr>
        <w:tc>
          <w:tcPr>
            <w:tcW w:w="867" w:type="pct"/>
            <w:tcBorders>
              <w:top w:val="nil"/>
              <w:left w:val="single" w:sz="4" w:space="0" w:color="auto"/>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rPr>
                <w:rFonts w:ascii="Times New Roman" w:eastAsia="Times New Roman" w:hAnsi="Times New Roman" w:cs="Times New Roman"/>
                <w:b/>
                <w:bCs/>
                <w:color w:val="000000"/>
                <w:sz w:val="20"/>
                <w:szCs w:val="20"/>
                <w:lang w:eastAsia="cs-CZ"/>
              </w:rPr>
            </w:pPr>
            <w:r w:rsidRPr="00A73114">
              <w:rPr>
                <w:rFonts w:ascii="Times New Roman" w:eastAsia="Times New Roman" w:hAnsi="Times New Roman" w:cs="Times New Roman"/>
                <w:b/>
                <w:bCs/>
                <w:color w:val="000000"/>
                <w:sz w:val="20"/>
                <w:szCs w:val="20"/>
                <w:lang w:eastAsia="cs-CZ"/>
              </w:rPr>
              <w:t>Muži</w:t>
            </w:r>
          </w:p>
        </w:tc>
        <w:tc>
          <w:tcPr>
            <w:tcW w:w="458"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52</w:t>
            </w:r>
          </w:p>
        </w:tc>
        <w:tc>
          <w:tcPr>
            <w:tcW w:w="550"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295</w:t>
            </w:r>
          </w:p>
        </w:tc>
        <w:tc>
          <w:tcPr>
            <w:tcW w:w="363"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56</w:t>
            </w:r>
          </w:p>
        </w:tc>
        <w:tc>
          <w:tcPr>
            <w:tcW w:w="458"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63</w:t>
            </w:r>
          </w:p>
        </w:tc>
        <w:tc>
          <w:tcPr>
            <w:tcW w:w="550"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300</w:t>
            </w:r>
          </w:p>
        </w:tc>
        <w:tc>
          <w:tcPr>
            <w:tcW w:w="363"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72</w:t>
            </w:r>
          </w:p>
        </w:tc>
        <w:tc>
          <w:tcPr>
            <w:tcW w:w="465"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78</w:t>
            </w:r>
          </w:p>
        </w:tc>
        <w:tc>
          <w:tcPr>
            <w:tcW w:w="559"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272</w:t>
            </w:r>
          </w:p>
        </w:tc>
        <w:tc>
          <w:tcPr>
            <w:tcW w:w="369"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91</w:t>
            </w:r>
          </w:p>
        </w:tc>
      </w:tr>
      <w:tr w:rsidR="00F158D7" w:rsidRPr="00A73114" w:rsidTr="001E4EF8">
        <w:trPr>
          <w:trHeight w:val="227"/>
        </w:trPr>
        <w:tc>
          <w:tcPr>
            <w:tcW w:w="867" w:type="pct"/>
            <w:tcBorders>
              <w:top w:val="nil"/>
              <w:left w:val="single" w:sz="4" w:space="0" w:color="auto"/>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rPr>
                <w:rFonts w:ascii="Times New Roman" w:eastAsia="Times New Roman" w:hAnsi="Times New Roman" w:cs="Times New Roman"/>
                <w:b/>
                <w:bCs/>
                <w:color w:val="000000"/>
                <w:sz w:val="20"/>
                <w:szCs w:val="20"/>
                <w:lang w:eastAsia="cs-CZ"/>
              </w:rPr>
            </w:pPr>
            <w:r w:rsidRPr="00A73114">
              <w:rPr>
                <w:rFonts w:ascii="Times New Roman" w:eastAsia="Times New Roman" w:hAnsi="Times New Roman" w:cs="Times New Roman"/>
                <w:b/>
                <w:bCs/>
                <w:color w:val="000000"/>
                <w:sz w:val="20"/>
                <w:szCs w:val="20"/>
                <w:lang w:eastAsia="cs-CZ"/>
              </w:rPr>
              <w:t>Ženy</w:t>
            </w:r>
          </w:p>
        </w:tc>
        <w:tc>
          <w:tcPr>
            <w:tcW w:w="458"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63</w:t>
            </w:r>
          </w:p>
        </w:tc>
        <w:tc>
          <w:tcPr>
            <w:tcW w:w="550"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280</w:t>
            </w:r>
          </w:p>
        </w:tc>
        <w:tc>
          <w:tcPr>
            <w:tcW w:w="363"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103</w:t>
            </w:r>
          </w:p>
        </w:tc>
        <w:tc>
          <w:tcPr>
            <w:tcW w:w="458"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63</w:t>
            </w:r>
          </w:p>
        </w:tc>
        <w:tc>
          <w:tcPr>
            <w:tcW w:w="550"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305</w:t>
            </w:r>
          </w:p>
        </w:tc>
        <w:tc>
          <w:tcPr>
            <w:tcW w:w="363"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87</w:t>
            </w:r>
          </w:p>
        </w:tc>
        <w:tc>
          <w:tcPr>
            <w:tcW w:w="465"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68</w:t>
            </w:r>
          </w:p>
        </w:tc>
        <w:tc>
          <w:tcPr>
            <w:tcW w:w="559"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289</w:t>
            </w:r>
          </w:p>
        </w:tc>
        <w:tc>
          <w:tcPr>
            <w:tcW w:w="369"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97</w:t>
            </w:r>
          </w:p>
        </w:tc>
      </w:tr>
      <w:tr w:rsidR="00F158D7" w:rsidRPr="00A73114" w:rsidTr="001E4EF8">
        <w:trPr>
          <w:trHeight w:val="227"/>
        </w:trPr>
        <w:tc>
          <w:tcPr>
            <w:tcW w:w="867" w:type="pct"/>
            <w:tcBorders>
              <w:top w:val="nil"/>
              <w:left w:val="single" w:sz="4" w:space="0" w:color="auto"/>
              <w:bottom w:val="single" w:sz="4" w:space="0" w:color="auto"/>
              <w:right w:val="single" w:sz="4" w:space="0" w:color="auto"/>
            </w:tcBorders>
            <w:shd w:val="clear" w:color="000000" w:fill="1F497D"/>
            <w:noWrap/>
            <w:vAlign w:val="center"/>
            <w:hideMark/>
          </w:tcPr>
          <w:p w:rsidR="00F158D7" w:rsidRPr="00A73114" w:rsidRDefault="00F158D7" w:rsidP="001E4EF8">
            <w:pPr>
              <w:spacing w:after="0" w:line="240" w:lineRule="auto"/>
              <w:rPr>
                <w:rFonts w:ascii="Times New Roman" w:eastAsia="Times New Roman" w:hAnsi="Times New Roman" w:cs="Times New Roman"/>
                <w:b/>
                <w:bCs/>
                <w:color w:val="FFFFFF"/>
                <w:sz w:val="20"/>
                <w:szCs w:val="20"/>
                <w:lang w:eastAsia="cs-CZ"/>
              </w:rPr>
            </w:pPr>
            <w:r w:rsidRPr="00A73114">
              <w:rPr>
                <w:rFonts w:ascii="Times New Roman" w:eastAsia="Times New Roman" w:hAnsi="Times New Roman" w:cs="Times New Roman"/>
                <w:b/>
                <w:bCs/>
                <w:color w:val="FFFFFF"/>
                <w:sz w:val="20"/>
                <w:szCs w:val="20"/>
                <w:lang w:eastAsia="cs-CZ"/>
              </w:rPr>
              <w:t>Územní srovnání</w:t>
            </w:r>
          </w:p>
        </w:tc>
        <w:tc>
          <w:tcPr>
            <w:tcW w:w="458" w:type="pct"/>
            <w:tcBorders>
              <w:top w:val="nil"/>
              <w:left w:val="nil"/>
              <w:bottom w:val="single" w:sz="4" w:space="0" w:color="auto"/>
              <w:right w:val="single" w:sz="4" w:space="0" w:color="auto"/>
            </w:tcBorders>
            <w:shd w:val="clear" w:color="000000" w:fill="1F497D"/>
            <w:noWrap/>
            <w:vAlign w:val="center"/>
            <w:hideMark/>
          </w:tcPr>
          <w:p w:rsidR="00F158D7" w:rsidRPr="00A73114" w:rsidRDefault="00F158D7" w:rsidP="001E4EF8">
            <w:pPr>
              <w:spacing w:after="0" w:line="240" w:lineRule="auto"/>
              <w:jc w:val="center"/>
              <w:rPr>
                <w:rFonts w:ascii="Times New Roman" w:eastAsia="Times New Roman" w:hAnsi="Times New Roman" w:cs="Times New Roman"/>
                <w:b/>
                <w:bCs/>
                <w:color w:val="FFFFFF"/>
                <w:sz w:val="20"/>
                <w:szCs w:val="20"/>
                <w:lang w:eastAsia="cs-CZ"/>
              </w:rPr>
            </w:pPr>
            <w:r w:rsidRPr="00A73114">
              <w:rPr>
                <w:rFonts w:ascii="Times New Roman" w:eastAsia="Times New Roman" w:hAnsi="Times New Roman" w:cs="Times New Roman"/>
                <w:b/>
                <w:bCs/>
                <w:color w:val="FFFFFF"/>
                <w:sz w:val="20"/>
                <w:szCs w:val="20"/>
                <w:lang w:eastAsia="cs-CZ"/>
              </w:rPr>
              <w:t>0 - 14</w:t>
            </w:r>
          </w:p>
        </w:tc>
        <w:tc>
          <w:tcPr>
            <w:tcW w:w="550" w:type="pct"/>
            <w:tcBorders>
              <w:top w:val="nil"/>
              <w:left w:val="nil"/>
              <w:bottom w:val="single" w:sz="4" w:space="0" w:color="auto"/>
              <w:right w:val="single" w:sz="4" w:space="0" w:color="auto"/>
            </w:tcBorders>
            <w:shd w:val="clear" w:color="000000" w:fill="1F497D"/>
            <w:noWrap/>
            <w:vAlign w:val="center"/>
            <w:hideMark/>
          </w:tcPr>
          <w:p w:rsidR="00F158D7" w:rsidRPr="00A73114" w:rsidRDefault="00F158D7" w:rsidP="001E4EF8">
            <w:pPr>
              <w:spacing w:after="0" w:line="240" w:lineRule="auto"/>
              <w:jc w:val="center"/>
              <w:rPr>
                <w:rFonts w:ascii="Times New Roman" w:eastAsia="Times New Roman" w:hAnsi="Times New Roman" w:cs="Times New Roman"/>
                <w:b/>
                <w:bCs/>
                <w:color w:val="FFFFFF"/>
                <w:sz w:val="20"/>
                <w:szCs w:val="20"/>
                <w:lang w:eastAsia="cs-CZ"/>
              </w:rPr>
            </w:pPr>
            <w:r w:rsidRPr="00A73114">
              <w:rPr>
                <w:rFonts w:ascii="Times New Roman" w:eastAsia="Times New Roman" w:hAnsi="Times New Roman" w:cs="Times New Roman"/>
                <w:b/>
                <w:bCs/>
                <w:color w:val="FFFFFF"/>
                <w:sz w:val="20"/>
                <w:szCs w:val="20"/>
                <w:lang w:eastAsia="cs-CZ"/>
              </w:rPr>
              <w:t>15 - 64</w:t>
            </w:r>
          </w:p>
        </w:tc>
        <w:tc>
          <w:tcPr>
            <w:tcW w:w="363" w:type="pct"/>
            <w:tcBorders>
              <w:top w:val="nil"/>
              <w:left w:val="nil"/>
              <w:bottom w:val="single" w:sz="4" w:space="0" w:color="auto"/>
              <w:right w:val="single" w:sz="4" w:space="0" w:color="auto"/>
            </w:tcBorders>
            <w:shd w:val="clear" w:color="000000" w:fill="1F497D"/>
            <w:noWrap/>
            <w:vAlign w:val="center"/>
            <w:hideMark/>
          </w:tcPr>
          <w:p w:rsidR="00F158D7" w:rsidRPr="00A73114" w:rsidRDefault="00F158D7" w:rsidP="001E4EF8">
            <w:pPr>
              <w:spacing w:after="0" w:line="240" w:lineRule="auto"/>
              <w:jc w:val="center"/>
              <w:rPr>
                <w:rFonts w:ascii="Times New Roman" w:eastAsia="Times New Roman" w:hAnsi="Times New Roman" w:cs="Times New Roman"/>
                <w:b/>
                <w:bCs/>
                <w:color w:val="FFFFFF"/>
                <w:sz w:val="20"/>
                <w:szCs w:val="20"/>
                <w:lang w:eastAsia="cs-CZ"/>
              </w:rPr>
            </w:pPr>
            <w:r w:rsidRPr="00A73114">
              <w:rPr>
                <w:rFonts w:ascii="Times New Roman" w:eastAsia="Times New Roman" w:hAnsi="Times New Roman" w:cs="Times New Roman"/>
                <w:b/>
                <w:bCs/>
                <w:color w:val="FFFFFF"/>
                <w:sz w:val="20"/>
                <w:szCs w:val="20"/>
                <w:lang w:eastAsia="cs-CZ"/>
              </w:rPr>
              <w:t>65 +</w:t>
            </w:r>
          </w:p>
        </w:tc>
        <w:tc>
          <w:tcPr>
            <w:tcW w:w="458" w:type="pct"/>
            <w:tcBorders>
              <w:top w:val="nil"/>
              <w:left w:val="nil"/>
              <w:bottom w:val="single" w:sz="4" w:space="0" w:color="auto"/>
              <w:right w:val="single" w:sz="4" w:space="0" w:color="auto"/>
            </w:tcBorders>
            <w:shd w:val="clear" w:color="000000" w:fill="1F497D"/>
            <w:noWrap/>
            <w:vAlign w:val="center"/>
            <w:hideMark/>
          </w:tcPr>
          <w:p w:rsidR="00F158D7" w:rsidRPr="00A73114" w:rsidRDefault="00F158D7" w:rsidP="001E4EF8">
            <w:pPr>
              <w:spacing w:after="0" w:line="240" w:lineRule="auto"/>
              <w:jc w:val="center"/>
              <w:rPr>
                <w:rFonts w:ascii="Times New Roman" w:eastAsia="Times New Roman" w:hAnsi="Times New Roman" w:cs="Times New Roman"/>
                <w:b/>
                <w:bCs/>
                <w:color w:val="FFFFFF"/>
                <w:sz w:val="20"/>
                <w:szCs w:val="20"/>
                <w:lang w:eastAsia="cs-CZ"/>
              </w:rPr>
            </w:pPr>
            <w:r w:rsidRPr="00A73114">
              <w:rPr>
                <w:rFonts w:ascii="Times New Roman" w:eastAsia="Times New Roman" w:hAnsi="Times New Roman" w:cs="Times New Roman"/>
                <w:b/>
                <w:bCs/>
                <w:color w:val="FFFFFF"/>
                <w:sz w:val="20"/>
                <w:szCs w:val="20"/>
                <w:lang w:eastAsia="cs-CZ"/>
              </w:rPr>
              <w:t>0 - 14</w:t>
            </w:r>
          </w:p>
        </w:tc>
        <w:tc>
          <w:tcPr>
            <w:tcW w:w="550" w:type="pct"/>
            <w:tcBorders>
              <w:top w:val="nil"/>
              <w:left w:val="nil"/>
              <w:bottom w:val="single" w:sz="4" w:space="0" w:color="auto"/>
              <w:right w:val="single" w:sz="4" w:space="0" w:color="auto"/>
            </w:tcBorders>
            <w:shd w:val="clear" w:color="000000" w:fill="1F497D"/>
            <w:noWrap/>
            <w:vAlign w:val="center"/>
            <w:hideMark/>
          </w:tcPr>
          <w:p w:rsidR="00F158D7" w:rsidRPr="00A73114" w:rsidRDefault="00F158D7" w:rsidP="001E4EF8">
            <w:pPr>
              <w:spacing w:after="0" w:line="240" w:lineRule="auto"/>
              <w:jc w:val="center"/>
              <w:rPr>
                <w:rFonts w:ascii="Times New Roman" w:eastAsia="Times New Roman" w:hAnsi="Times New Roman" w:cs="Times New Roman"/>
                <w:b/>
                <w:bCs/>
                <w:color w:val="FFFFFF"/>
                <w:sz w:val="20"/>
                <w:szCs w:val="20"/>
                <w:lang w:eastAsia="cs-CZ"/>
              </w:rPr>
            </w:pPr>
            <w:r w:rsidRPr="00A73114">
              <w:rPr>
                <w:rFonts w:ascii="Times New Roman" w:eastAsia="Times New Roman" w:hAnsi="Times New Roman" w:cs="Times New Roman"/>
                <w:b/>
                <w:bCs/>
                <w:color w:val="FFFFFF"/>
                <w:sz w:val="20"/>
                <w:szCs w:val="20"/>
                <w:lang w:eastAsia="cs-CZ"/>
              </w:rPr>
              <w:t>15 - 64</w:t>
            </w:r>
          </w:p>
        </w:tc>
        <w:tc>
          <w:tcPr>
            <w:tcW w:w="363" w:type="pct"/>
            <w:tcBorders>
              <w:top w:val="nil"/>
              <w:left w:val="nil"/>
              <w:bottom w:val="single" w:sz="4" w:space="0" w:color="auto"/>
              <w:right w:val="single" w:sz="4" w:space="0" w:color="auto"/>
            </w:tcBorders>
            <w:shd w:val="clear" w:color="000000" w:fill="1F497D"/>
            <w:noWrap/>
            <w:vAlign w:val="center"/>
            <w:hideMark/>
          </w:tcPr>
          <w:p w:rsidR="00F158D7" w:rsidRPr="00A73114" w:rsidRDefault="00F158D7" w:rsidP="001E4EF8">
            <w:pPr>
              <w:spacing w:after="0" w:line="240" w:lineRule="auto"/>
              <w:jc w:val="center"/>
              <w:rPr>
                <w:rFonts w:ascii="Times New Roman" w:eastAsia="Times New Roman" w:hAnsi="Times New Roman" w:cs="Times New Roman"/>
                <w:b/>
                <w:bCs/>
                <w:color w:val="FFFFFF"/>
                <w:sz w:val="20"/>
                <w:szCs w:val="20"/>
                <w:lang w:eastAsia="cs-CZ"/>
              </w:rPr>
            </w:pPr>
            <w:r w:rsidRPr="00A73114">
              <w:rPr>
                <w:rFonts w:ascii="Times New Roman" w:eastAsia="Times New Roman" w:hAnsi="Times New Roman" w:cs="Times New Roman"/>
                <w:b/>
                <w:bCs/>
                <w:color w:val="FFFFFF"/>
                <w:sz w:val="20"/>
                <w:szCs w:val="20"/>
                <w:lang w:eastAsia="cs-CZ"/>
              </w:rPr>
              <w:t>65 +</w:t>
            </w:r>
          </w:p>
        </w:tc>
        <w:tc>
          <w:tcPr>
            <w:tcW w:w="465" w:type="pct"/>
            <w:tcBorders>
              <w:top w:val="nil"/>
              <w:left w:val="nil"/>
              <w:bottom w:val="single" w:sz="4" w:space="0" w:color="auto"/>
              <w:right w:val="single" w:sz="4" w:space="0" w:color="auto"/>
            </w:tcBorders>
            <w:shd w:val="clear" w:color="000000" w:fill="1F497D"/>
            <w:noWrap/>
            <w:vAlign w:val="center"/>
            <w:hideMark/>
          </w:tcPr>
          <w:p w:rsidR="00F158D7" w:rsidRPr="00A73114" w:rsidRDefault="00F158D7" w:rsidP="001E4EF8">
            <w:pPr>
              <w:spacing w:after="0" w:line="240" w:lineRule="auto"/>
              <w:jc w:val="center"/>
              <w:rPr>
                <w:rFonts w:ascii="Times New Roman" w:eastAsia="Times New Roman" w:hAnsi="Times New Roman" w:cs="Times New Roman"/>
                <w:b/>
                <w:bCs/>
                <w:color w:val="FFFFFF"/>
                <w:sz w:val="20"/>
                <w:szCs w:val="20"/>
                <w:lang w:eastAsia="cs-CZ"/>
              </w:rPr>
            </w:pPr>
            <w:r w:rsidRPr="00A73114">
              <w:rPr>
                <w:rFonts w:ascii="Times New Roman" w:eastAsia="Times New Roman" w:hAnsi="Times New Roman" w:cs="Times New Roman"/>
                <w:b/>
                <w:bCs/>
                <w:color w:val="FFFFFF"/>
                <w:sz w:val="20"/>
                <w:szCs w:val="20"/>
                <w:lang w:eastAsia="cs-CZ"/>
              </w:rPr>
              <w:t>0 - 14</w:t>
            </w:r>
          </w:p>
        </w:tc>
        <w:tc>
          <w:tcPr>
            <w:tcW w:w="559" w:type="pct"/>
            <w:tcBorders>
              <w:top w:val="nil"/>
              <w:left w:val="nil"/>
              <w:bottom w:val="single" w:sz="4" w:space="0" w:color="auto"/>
              <w:right w:val="single" w:sz="4" w:space="0" w:color="auto"/>
            </w:tcBorders>
            <w:shd w:val="clear" w:color="000000" w:fill="1F497D"/>
            <w:noWrap/>
            <w:vAlign w:val="center"/>
            <w:hideMark/>
          </w:tcPr>
          <w:p w:rsidR="00F158D7" w:rsidRPr="00A73114" w:rsidRDefault="00F158D7" w:rsidP="001E4EF8">
            <w:pPr>
              <w:spacing w:after="0" w:line="240" w:lineRule="auto"/>
              <w:jc w:val="center"/>
              <w:rPr>
                <w:rFonts w:ascii="Times New Roman" w:eastAsia="Times New Roman" w:hAnsi="Times New Roman" w:cs="Times New Roman"/>
                <w:b/>
                <w:bCs/>
                <w:color w:val="FFFFFF"/>
                <w:sz w:val="20"/>
                <w:szCs w:val="20"/>
                <w:lang w:eastAsia="cs-CZ"/>
              </w:rPr>
            </w:pPr>
            <w:r w:rsidRPr="00A73114">
              <w:rPr>
                <w:rFonts w:ascii="Times New Roman" w:eastAsia="Times New Roman" w:hAnsi="Times New Roman" w:cs="Times New Roman"/>
                <w:b/>
                <w:bCs/>
                <w:color w:val="FFFFFF"/>
                <w:sz w:val="20"/>
                <w:szCs w:val="20"/>
                <w:lang w:eastAsia="cs-CZ"/>
              </w:rPr>
              <w:t>15 - 64</w:t>
            </w:r>
          </w:p>
        </w:tc>
        <w:tc>
          <w:tcPr>
            <w:tcW w:w="369" w:type="pct"/>
            <w:tcBorders>
              <w:top w:val="nil"/>
              <w:left w:val="nil"/>
              <w:bottom w:val="single" w:sz="4" w:space="0" w:color="auto"/>
              <w:right w:val="single" w:sz="4" w:space="0" w:color="auto"/>
            </w:tcBorders>
            <w:shd w:val="clear" w:color="000000" w:fill="1F497D"/>
            <w:noWrap/>
            <w:vAlign w:val="center"/>
            <w:hideMark/>
          </w:tcPr>
          <w:p w:rsidR="00F158D7" w:rsidRPr="00A73114" w:rsidRDefault="00F158D7" w:rsidP="001E4EF8">
            <w:pPr>
              <w:spacing w:after="0" w:line="240" w:lineRule="auto"/>
              <w:jc w:val="center"/>
              <w:rPr>
                <w:rFonts w:ascii="Times New Roman" w:eastAsia="Times New Roman" w:hAnsi="Times New Roman" w:cs="Times New Roman"/>
                <w:b/>
                <w:bCs/>
                <w:color w:val="FFFFFF"/>
                <w:sz w:val="20"/>
                <w:szCs w:val="20"/>
                <w:lang w:eastAsia="cs-CZ"/>
              </w:rPr>
            </w:pPr>
            <w:r w:rsidRPr="00A73114">
              <w:rPr>
                <w:rFonts w:ascii="Times New Roman" w:eastAsia="Times New Roman" w:hAnsi="Times New Roman" w:cs="Times New Roman"/>
                <w:b/>
                <w:bCs/>
                <w:color w:val="FFFFFF"/>
                <w:sz w:val="20"/>
                <w:szCs w:val="20"/>
                <w:lang w:eastAsia="cs-CZ"/>
              </w:rPr>
              <w:t>65 +</w:t>
            </w:r>
          </w:p>
        </w:tc>
      </w:tr>
      <w:tr w:rsidR="00F158D7" w:rsidRPr="00A73114" w:rsidTr="001E4EF8">
        <w:trPr>
          <w:trHeight w:val="227"/>
        </w:trPr>
        <w:tc>
          <w:tcPr>
            <w:tcW w:w="867" w:type="pct"/>
            <w:tcBorders>
              <w:top w:val="nil"/>
              <w:left w:val="single" w:sz="4" w:space="0" w:color="auto"/>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rPr>
                <w:rFonts w:ascii="Times New Roman" w:eastAsia="Times New Roman" w:hAnsi="Times New Roman" w:cs="Times New Roman"/>
                <w:b/>
                <w:bCs/>
                <w:color w:val="000000"/>
                <w:sz w:val="20"/>
                <w:szCs w:val="20"/>
                <w:lang w:eastAsia="cs-CZ"/>
              </w:rPr>
            </w:pPr>
            <w:r w:rsidRPr="00A73114">
              <w:rPr>
                <w:rFonts w:ascii="Times New Roman" w:eastAsia="Times New Roman" w:hAnsi="Times New Roman" w:cs="Times New Roman"/>
                <w:b/>
                <w:bCs/>
                <w:color w:val="000000"/>
                <w:sz w:val="20"/>
                <w:szCs w:val="20"/>
                <w:lang w:eastAsia="cs-CZ"/>
              </w:rPr>
              <w:t>Zásada (%)</w:t>
            </w:r>
          </w:p>
        </w:tc>
        <w:tc>
          <w:tcPr>
            <w:tcW w:w="458"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13,5</w:t>
            </w:r>
          </w:p>
        </w:tc>
        <w:tc>
          <w:tcPr>
            <w:tcW w:w="550"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67,7</w:t>
            </w:r>
          </w:p>
        </w:tc>
        <w:tc>
          <w:tcPr>
            <w:tcW w:w="363"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18,7</w:t>
            </w:r>
          </w:p>
        </w:tc>
        <w:tc>
          <w:tcPr>
            <w:tcW w:w="458"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14,2</w:t>
            </w:r>
          </w:p>
        </w:tc>
        <w:tc>
          <w:tcPr>
            <w:tcW w:w="550"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68,0</w:t>
            </w:r>
          </w:p>
        </w:tc>
        <w:tc>
          <w:tcPr>
            <w:tcW w:w="363"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17,9</w:t>
            </w:r>
          </w:p>
        </w:tc>
        <w:tc>
          <w:tcPr>
            <w:tcW w:w="465"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16,3</w:t>
            </w:r>
          </w:p>
        </w:tc>
        <w:tc>
          <w:tcPr>
            <w:tcW w:w="559"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62,7</w:t>
            </w:r>
          </w:p>
        </w:tc>
        <w:tc>
          <w:tcPr>
            <w:tcW w:w="369"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21,0</w:t>
            </w:r>
          </w:p>
        </w:tc>
      </w:tr>
      <w:tr w:rsidR="00F158D7" w:rsidRPr="00A73114" w:rsidTr="001E4EF8">
        <w:trPr>
          <w:trHeight w:val="227"/>
        </w:trPr>
        <w:tc>
          <w:tcPr>
            <w:tcW w:w="867" w:type="pct"/>
            <w:tcBorders>
              <w:top w:val="nil"/>
              <w:left w:val="single" w:sz="4" w:space="0" w:color="auto"/>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rPr>
                <w:rFonts w:ascii="Times New Roman" w:eastAsia="Times New Roman" w:hAnsi="Times New Roman" w:cs="Times New Roman"/>
                <w:b/>
                <w:bCs/>
                <w:color w:val="000000"/>
                <w:sz w:val="20"/>
                <w:szCs w:val="20"/>
                <w:lang w:eastAsia="cs-CZ"/>
              </w:rPr>
            </w:pPr>
            <w:r w:rsidRPr="00A73114">
              <w:rPr>
                <w:rFonts w:ascii="Times New Roman" w:eastAsia="Times New Roman" w:hAnsi="Times New Roman" w:cs="Times New Roman"/>
                <w:b/>
                <w:bCs/>
                <w:color w:val="000000"/>
                <w:sz w:val="20"/>
                <w:szCs w:val="20"/>
                <w:lang w:eastAsia="cs-CZ"/>
              </w:rPr>
              <w:t>SO ORP Železný Brod (%)</w:t>
            </w:r>
          </w:p>
        </w:tc>
        <w:tc>
          <w:tcPr>
            <w:tcW w:w="458"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14,6</w:t>
            </w:r>
          </w:p>
        </w:tc>
        <w:tc>
          <w:tcPr>
            <w:tcW w:w="550"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70,4</w:t>
            </w:r>
          </w:p>
        </w:tc>
        <w:tc>
          <w:tcPr>
            <w:tcW w:w="363"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15,0</w:t>
            </w:r>
          </w:p>
        </w:tc>
        <w:tc>
          <w:tcPr>
            <w:tcW w:w="458"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14,6</w:t>
            </w:r>
          </w:p>
        </w:tc>
        <w:tc>
          <w:tcPr>
            <w:tcW w:w="550"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68,0</w:t>
            </w:r>
          </w:p>
        </w:tc>
        <w:tc>
          <w:tcPr>
            <w:tcW w:w="363"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17,4</w:t>
            </w:r>
          </w:p>
        </w:tc>
        <w:tc>
          <w:tcPr>
            <w:tcW w:w="465"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16,0</w:t>
            </w:r>
          </w:p>
        </w:tc>
        <w:tc>
          <w:tcPr>
            <w:tcW w:w="559"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61,9</w:t>
            </w:r>
          </w:p>
        </w:tc>
        <w:tc>
          <w:tcPr>
            <w:tcW w:w="369"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22,1</w:t>
            </w:r>
          </w:p>
        </w:tc>
      </w:tr>
    </w:tbl>
    <w:p w:rsidR="00F158D7" w:rsidRPr="009201EF" w:rsidRDefault="00F158D7" w:rsidP="00F158D7">
      <w:pPr>
        <w:spacing w:after="0" w:line="240" w:lineRule="auto"/>
        <w:rPr>
          <w:rFonts w:ascii="Times New Roman" w:hAnsi="Times New Roman" w:cs="Times New Roman"/>
          <w:sz w:val="18"/>
        </w:rPr>
      </w:pPr>
    </w:p>
    <w:p w:rsidR="00F158D7" w:rsidRPr="009201EF" w:rsidRDefault="00F158D7" w:rsidP="00F158D7">
      <w:pPr>
        <w:spacing w:line="240" w:lineRule="auto"/>
        <w:rPr>
          <w:rFonts w:ascii="Times New Roman" w:hAnsi="Times New Roman" w:cs="Times New Roman"/>
          <w:sz w:val="18"/>
        </w:rPr>
      </w:pPr>
      <w:r>
        <w:rPr>
          <w:rFonts w:ascii="Times New Roman" w:hAnsi="Times New Roman" w:cs="Times New Roman"/>
          <w:sz w:val="18"/>
        </w:rPr>
        <w:t>Z</w:t>
      </w:r>
      <w:r w:rsidRPr="009201EF">
        <w:rPr>
          <w:rFonts w:ascii="Times New Roman" w:hAnsi="Times New Roman" w:cs="Times New Roman"/>
          <w:sz w:val="18"/>
        </w:rPr>
        <w:t>droj: ČSÚ, vlastní zpracování</w:t>
      </w:r>
    </w:p>
    <w:p w:rsidR="00F158D7" w:rsidRDefault="00F158D7" w:rsidP="00F158D7">
      <w:pPr>
        <w:spacing w:after="0" w:line="240" w:lineRule="auto"/>
        <w:jc w:val="both"/>
        <w:rPr>
          <w:rFonts w:ascii="Times New Roman" w:hAnsi="Times New Roman" w:cs="Times New Roman"/>
        </w:rPr>
      </w:pPr>
    </w:p>
    <w:p w:rsidR="00F158D7" w:rsidRDefault="00F158D7" w:rsidP="00F158D7">
      <w:pPr>
        <w:spacing w:after="0"/>
        <w:jc w:val="both"/>
        <w:rPr>
          <w:rFonts w:ascii="Times New Roman" w:hAnsi="Times New Roman" w:cs="Times New Roman"/>
        </w:rPr>
      </w:pPr>
      <w:r w:rsidRPr="009201EF">
        <w:rPr>
          <w:rFonts w:ascii="Times New Roman" w:hAnsi="Times New Roman" w:cs="Times New Roman"/>
        </w:rPr>
        <w:t>Ze srovnání</w:t>
      </w:r>
      <w:r>
        <w:rPr>
          <w:rFonts w:ascii="Times New Roman" w:hAnsi="Times New Roman" w:cs="Times New Roman"/>
        </w:rPr>
        <w:t xml:space="preserve"> území</w:t>
      </w:r>
      <w:r w:rsidRPr="009201EF">
        <w:rPr>
          <w:rFonts w:ascii="Times New Roman" w:hAnsi="Times New Roman" w:cs="Times New Roman"/>
        </w:rPr>
        <w:t xml:space="preserve"> je patrné, že </w:t>
      </w:r>
      <w:r>
        <w:rPr>
          <w:rFonts w:ascii="Times New Roman" w:hAnsi="Times New Roman" w:cs="Times New Roman"/>
        </w:rPr>
        <w:t>obec vykazuje srovnatelný vývoj ve věkovém složení obyvatel s územím SO ORP Železný Brod. Vývoj předproduktivní složky (0-14) v absolutním vyjádření vzrostl z hodnot roku 2001 – 115 dětí na 146 dětí v roce 2017 (růst o 27%). Absolutní růst skupiny do 14 let doprovází též nárůst poproduktivního obyvatelstva tj. nad 65 let, který zaznamenal oproti roku 2001 nárůst ze 159 obyvatel na 188 (nárůst o 18%). Vývoj počtu produktivního obyvatelstva reprezentuje posílení této skupiny do roku 2011 s následným pokles této skupiny z důvodu postupného přecházení silných povalečných ročníků do skupiny nad 65 let.</w:t>
      </w:r>
    </w:p>
    <w:p w:rsidR="00F158D7" w:rsidRDefault="00F158D7" w:rsidP="00F158D7">
      <w:pPr>
        <w:spacing w:after="0"/>
        <w:jc w:val="both"/>
        <w:rPr>
          <w:rFonts w:ascii="Times New Roman" w:hAnsi="Times New Roman" w:cs="Times New Roman"/>
        </w:rPr>
      </w:pPr>
    </w:p>
    <w:p w:rsidR="00F158D7" w:rsidRPr="00F71502" w:rsidRDefault="00F158D7" w:rsidP="00F158D7">
      <w:pPr>
        <w:spacing w:after="0"/>
        <w:jc w:val="both"/>
        <w:rPr>
          <w:rFonts w:ascii="Times New Roman" w:hAnsi="Times New Roman" w:cs="Times New Roman"/>
        </w:rPr>
      </w:pPr>
      <w:r>
        <w:rPr>
          <w:rFonts w:ascii="Times New Roman" w:hAnsi="Times New Roman" w:cs="Times New Roman"/>
        </w:rPr>
        <w:t xml:space="preserve">Vývoj poměrové složení obyvatelstva v ekonomických věkových skupinách zobrazuje následující graf, ze kterého lze vyčíst přesuny obyvatel mezi skupinami, a to ve prospěch předproduktivního a postproduktivního obyvatelstva.   </w:t>
      </w:r>
    </w:p>
    <w:p w:rsidR="00F158D7" w:rsidRDefault="00F158D7" w:rsidP="00F158D7">
      <w:pPr>
        <w:spacing w:after="0" w:line="240" w:lineRule="auto"/>
        <w:rPr>
          <w:rFonts w:ascii="Times New Roman" w:hAnsi="Times New Roman" w:cs="Times New Roman"/>
          <w:sz w:val="18"/>
        </w:rPr>
      </w:pPr>
    </w:p>
    <w:p w:rsidR="00F158D7" w:rsidRDefault="00F158D7" w:rsidP="00F158D7">
      <w:pPr>
        <w:spacing w:after="0" w:line="240" w:lineRule="auto"/>
        <w:rPr>
          <w:rFonts w:ascii="Times New Roman" w:hAnsi="Times New Roman" w:cs="Times New Roman"/>
          <w:sz w:val="18"/>
        </w:rPr>
      </w:pPr>
    </w:p>
    <w:p w:rsidR="00F158D7" w:rsidRPr="009201EF" w:rsidRDefault="00F158D7" w:rsidP="00F158D7">
      <w:pPr>
        <w:spacing w:after="0" w:line="240" w:lineRule="auto"/>
        <w:rPr>
          <w:rFonts w:ascii="Times New Roman" w:hAnsi="Times New Roman" w:cs="Times New Roman"/>
          <w:sz w:val="18"/>
        </w:rPr>
      </w:pPr>
      <w:r>
        <w:rPr>
          <w:rFonts w:ascii="Times New Roman" w:hAnsi="Times New Roman" w:cs="Times New Roman"/>
          <w:sz w:val="18"/>
        </w:rPr>
        <w:t xml:space="preserve">Graf: </w:t>
      </w:r>
      <w:r w:rsidRPr="009201EF">
        <w:rPr>
          <w:rFonts w:ascii="Times New Roman" w:hAnsi="Times New Roman" w:cs="Times New Roman"/>
          <w:sz w:val="18"/>
        </w:rPr>
        <w:t>Vývoj zá</w:t>
      </w:r>
      <w:r>
        <w:rPr>
          <w:rFonts w:ascii="Times New Roman" w:hAnsi="Times New Roman" w:cs="Times New Roman"/>
          <w:sz w:val="18"/>
        </w:rPr>
        <w:t>kladních věkových skupin</w:t>
      </w:r>
      <w:r w:rsidRPr="009201EF">
        <w:rPr>
          <w:rFonts w:ascii="Times New Roman" w:hAnsi="Times New Roman" w:cs="Times New Roman"/>
          <w:sz w:val="18"/>
        </w:rPr>
        <w:t xml:space="preserve"> v letech 2001</w:t>
      </w:r>
      <w:r>
        <w:rPr>
          <w:rFonts w:ascii="Times New Roman" w:hAnsi="Times New Roman" w:cs="Times New Roman"/>
          <w:sz w:val="18"/>
        </w:rPr>
        <w:t>, 2011, 2017</w:t>
      </w:r>
      <w:r w:rsidRPr="009201EF">
        <w:rPr>
          <w:rFonts w:ascii="Times New Roman" w:hAnsi="Times New Roman" w:cs="Times New Roman"/>
          <w:sz w:val="18"/>
        </w:rPr>
        <w:t xml:space="preserve"> </w:t>
      </w:r>
    </w:p>
    <w:p w:rsidR="00F158D7" w:rsidRPr="009201EF" w:rsidRDefault="00F158D7" w:rsidP="00F158D7">
      <w:pPr>
        <w:spacing w:after="0" w:line="240" w:lineRule="auto"/>
        <w:rPr>
          <w:rFonts w:ascii="Times New Roman" w:hAnsi="Times New Roman" w:cs="Times New Roman"/>
        </w:rPr>
      </w:pPr>
      <w:r>
        <w:rPr>
          <w:noProof/>
          <w:lang w:eastAsia="cs-CZ"/>
        </w:rPr>
        <w:drawing>
          <wp:inline distT="0" distB="0" distL="0" distR="0" wp14:anchorId="6BCC31FF" wp14:editId="13A6F8E7">
            <wp:extent cx="5762625" cy="2219325"/>
            <wp:effectExtent l="76200" t="57150" r="66675" b="85725"/>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158D7" w:rsidRPr="00277491" w:rsidRDefault="00F158D7" w:rsidP="00F158D7">
      <w:pPr>
        <w:spacing w:line="240" w:lineRule="auto"/>
        <w:rPr>
          <w:rFonts w:ascii="Times New Roman" w:hAnsi="Times New Roman" w:cs="Times New Roman"/>
          <w:sz w:val="18"/>
        </w:rPr>
      </w:pPr>
      <w:r w:rsidRPr="009201EF">
        <w:rPr>
          <w:rFonts w:ascii="Times New Roman" w:hAnsi="Times New Roman" w:cs="Times New Roman"/>
          <w:sz w:val="18"/>
        </w:rPr>
        <w:t>Zdroj: ČSÚ, vlastní zpracování</w:t>
      </w:r>
    </w:p>
    <w:p w:rsidR="00F158D7" w:rsidRDefault="00F158D7" w:rsidP="00F158D7">
      <w:pPr>
        <w:jc w:val="both"/>
        <w:rPr>
          <w:rFonts w:ascii="Times New Roman" w:hAnsi="Times New Roman" w:cs="Times New Roman"/>
        </w:rPr>
      </w:pPr>
    </w:p>
    <w:p w:rsidR="00F158D7" w:rsidRDefault="00F158D7" w:rsidP="00F158D7">
      <w:pPr>
        <w:jc w:val="both"/>
        <w:rPr>
          <w:rFonts w:ascii="Times New Roman" w:hAnsi="Times New Roman" w:cs="Times New Roman"/>
        </w:rPr>
      </w:pPr>
      <w:r w:rsidRPr="009201EF">
        <w:rPr>
          <w:rFonts w:ascii="Times New Roman" w:hAnsi="Times New Roman" w:cs="Times New Roman"/>
        </w:rPr>
        <w:lastRenderedPageBreak/>
        <w:t>P</w:t>
      </w:r>
      <w:r>
        <w:rPr>
          <w:rFonts w:ascii="Times New Roman" w:hAnsi="Times New Roman" w:cs="Times New Roman"/>
        </w:rPr>
        <w:t>ro rozvojové účely</w:t>
      </w:r>
      <w:r w:rsidRPr="009201EF">
        <w:rPr>
          <w:rFonts w:ascii="Times New Roman" w:hAnsi="Times New Roman" w:cs="Times New Roman"/>
        </w:rPr>
        <w:t xml:space="preserve"> je nezbytné analyzovat detailněji věkové skupiny, a to vzhledem k možnosti předvídat potřeby obyvatelstva. </w:t>
      </w:r>
    </w:p>
    <w:p w:rsidR="00F158D7" w:rsidRDefault="00F158D7" w:rsidP="00F158D7">
      <w:pPr>
        <w:spacing w:after="0" w:line="240" w:lineRule="auto"/>
        <w:rPr>
          <w:rFonts w:ascii="Times New Roman" w:hAnsi="Times New Roman" w:cs="Times New Roman"/>
          <w:sz w:val="18"/>
        </w:rPr>
      </w:pPr>
    </w:p>
    <w:p w:rsidR="00F158D7" w:rsidRPr="009201EF" w:rsidRDefault="00F158D7" w:rsidP="00F158D7">
      <w:pPr>
        <w:spacing w:after="0" w:line="240" w:lineRule="auto"/>
        <w:rPr>
          <w:rFonts w:ascii="Times New Roman" w:hAnsi="Times New Roman" w:cs="Times New Roman"/>
          <w:sz w:val="18"/>
        </w:rPr>
      </w:pPr>
      <w:r>
        <w:rPr>
          <w:rFonts w:ascii="Times New Roman" w:hAnsi="Times New Roman" w:cs="Times New Roman"/>
          <w:sz w:val="18"/>
        </w:rPr>
        <w:t>Graf: Obyvatelé v pětiletých věkových skupinách celkem a dle pohlaví k 31. 12. 2017</w:t>
      </w:r>
    </w:p>
    <w:p w:rsidR="00F158D7" w:rsidRPr="009201EF" w:rsidRDefault="00F158D7" w:rsidP="00F158D7">
      <w:pPr>
        <w:spacing w:after="0" w:line="240" w:lineRule="auto"/>
        <w:rPr>
          <w:rFonts w:ascii="Times New Roman" w:hAnsi="Times New Roman" w:cs="Times New Roman"/>
        </w:rPr>
      </w:pPr>
      <w:r>
        <w:rPr>
          <w:noProof/>
          <w:lang w:eastAsia="cs-CZ"/>
        </w:rPr>
        <w:drawing>
          <wp:inline distT="0" distB="0" distL="0" distR="0" wp14:anchorId="07A773BD" wp14:editId="3E0FC784">
            <wp:extent cx="5762625" cy="4086225"/>
            <wp:effectExtent l="76200" t="57150" r="66675" b="85725"/>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158D7" w:rsidRPr="009201EF" w:rsidRDefault="00F158D7" w:rsidP="00F158D7">
      <w:pPr>
        <w:spacing w:line="240" w:lineRule="auto"/>
        <w:rPr>
          <w:rFonts w:ascii="Times New Roman" w:hAnsi="Times New Roman" w:cs="Times New Roman"/>
          <w:sz w:val="18"/>
        </w:rPr>
      </w:pPr>
      <w:r w:rsidRPr="009201EF">
        <w:rPr>
          <w:rFonts w:ascii="Times New Roman" w:hAnsi="Times New Roman" w:cs="Times New Roman"/>
          <w:sz w:val="18"/>
        </w:rPr>
        <w:t>Zdroj: ČSÚ, vlastní zpracování</w:t>
      </w:r>
    </w:p>
    <w:p w:rsidR="00F158D7" w:rsidRDefault="00F158D7" w:rsidP="00F158D7">
      <w:pPr>
        <w:jc w:val="both"/>
        <w:rPr>
          <w:rFonts w:ascii="Times New Roman" w:hAnsi="Times New Roman" w:cs="Times New Roman"/>
        </w:rPr>
      </w:pPr>
    </w:p>
    <w:p w:rsidR="00F158D7" w:rsidRDefault="00F158D7" w:rsidP="00F158D7">
      <w:pPr>
        <w:jc w:val="both"/>
        <w:rPr>
          <w:rFonts w:ascii="Times New Roman" w:hAnsi="Times New Roman" w:cs="Times New Roman"/>
        </w:rPr>
      </w:pPr>
      <w:r>
        <w:rPr>
          <w:rFonts w:ascii="Times New Roman" w:hAnsi="Times New Roman" w:cs="Times New Roman"/>
        </w:rPr>
        <w:t xml:space="preserve">Obsazení jednotlivých věkových skupin vykazuje skokový charakter, který je sledován u věkových skupin reprezentující ročníky sedmdesátých let, povalečné ročníky. Výkyv nejmladších dvou skupin navazují na silné ročníky rodičů sedmdesátých let. Tyto demografické vlny se projeví především v zajištění odlišných potřeb těchto skupiny obyvatelstva (školství, volnočasové aktivity, sociální služby, zdravotnictví, bydlení, apod.) </w:t>
      </w:r>
    </w:p>
    <w:p w:rsidR="00F158D7" w:rsidRDefault="00F158D7" w:rsidP="00F158D7">
      <w:pPr>
        <w:jc w:val="both"/>
        <w:rPr>
          <w:rFonts w:ascii="Times New Roman" w:hAnsi="Times New Roman" w:cs="Times New Roman"/>
        </w:rPr>
      </w:pPr>
      <w:r>
        <w:rPr>
          <w:rFonts w:ascii="Times New Roman" w:hAnsi="Times New Roman" w:cs="Times New Roman"/>
        </w:rPr>
        <w:t xml:space="preserve">Věková struktura obyvatel za 20 let bude charakterizována poměrně silným zastoupením obyvatel ve věkových skupinách 65 a více let (zásadní nárůst poměrného zastoupení obyvatel nad75 let). Věkové kategorie obyvatel do 14 let se budou pohybovat na relativně nižších, ale ustálených hodnotách (uvažováno bez silné migrační vlny). Počet obyvatel v produktivním věku bude stabilizován na cca 4/5 současného stavu. </w:t>
      </w:r>
    </w:p>
    <w:p w:rsidR="00F158D7" w:rsidRDefault="00F158D7" w:rsidP="00F158D7">
      <w:pPr>
        <w:jc w:val="both"/>
        <w:rPr>
          <w:rFonts w:ascii="Times New Roman" w:hAnsi="Times New Roman" w:cs="Times New Roman"/>
        </w:rPr>
      </w:pPr>
      <w:r>
        <w:rPr>
          <w:rFonts w:ascii="Times New Roman" w:hAnsi="Times New Roman" w:cs="Times New Roman"/>
        </w:rPr>
        <w:t xml:space="preserve"> </w:t>
      </w:r>
    </w:p>
    <w:p w:rsidR="00F158D7" w:rsidRDefault="00F158D7" w:rsidP="00F158D7">
      <w:pPr>
        <w:jc w:val="both"/>
        <w:rPr>
          <w:rFonts w:ascii="Times New Roman" w:hAnsi="Times New Roman" w:cs="Times New Roman"/>
        </w:rPr>
      </w:pPr>
    </w:p>
    <w:p w:rsidR="00F158D7" w:rsidRDefault="00F158D7" w:rsidP="00F158D7">
      <w:pPr>
        <w:jc w:val="both"/>
        <w:rPr>
          <w:rFonts w:ascii="Times New Roman" w:hAnsi="Times New Roman" w:cs="Times New Roman"/>
        </w:rPr>
      </w:pPr>
    </w:p>
    <w:p w:rsidR="00F158D7" w:rsidRDefault="00F158D7" w:rsidP="00F158D7">
      <w:pPr>
        <w:jc w:val="both"/>
        <w:rPr>
          <w:rFonts w:ascii="Times New Roman" w:hAnsi="Times New Roman" w:cs="Times New Roman"/>
        </w:rPr>
      </w:pPr>
    </w:p>
    <w:p w:rsidR="00F158D7" w:rsidRPr="009201EF" w:rsidRDefault="00F158D7" w:rsidP="00F158D7">
      <w:pPr>
        <w:jc w:val="both"/>
        <w:rPr>
          <w:rFonts w:ascii="Times New Roman" w:hAnsi="Times New Roman" w:cs="Times New Roman"/>
        </w:rPr>
      </w:pPr>
    </w:p>
    <w:p w:rsidR="00F158D7" w:rsidRPr="00E60A4D" w:rsidRDefault="00F158D7" w:rsidP="00F158D7">
      <w:pPr>
        <w:jc w:val="both"/>
        <w:rPr>
          <w:rFonts w:ascii="Times New Roman" w:hAnsi="Times New Roman" w:cs="Times New Roman"/>
          <w:b/>
          <w:color w:val="17365D" w:themeColor="text2" w:themeShade="BF"/>
          <w:u w:val="single"/>
        </w:rPr>
      </w:pPr>
      <w:r w:rsidRPr="00E60A4D">
        <w:rPr>
          <w:rFonts w:ascii="Times New Roman" w:hAnsi="Times New Roman" w:cs="Times New Roman"/>
          <w:b/>
          <w:color w:val="17365D" w:themeColor="text2" w:themeShade="BF"/>
          <w:u w:val="single"/>
        </w:rPr>
        <w:t>Vzdělanostní struktura</w:t>
      </w:r>
    </w:p>
    <w:p w:rsidR="00F158D7" w:rsidRPr="00DE3CDC" w:rsidRDefault="00F158D7" w:rsidP="00F158D7">
      <w:pPr>
        <w:jc w:val="both"/>
        <w:rPr>
          <w:rFonts w:ascii="Times New Roman" w:hAnsi="Times New Roman" w:cs="Times New Roman"/>
        </w:rPr>
      </w:pPr>
      <w:r>
        <w:rPr>
          <w:rFonts w:ascii="Times New Roman" w:hAnsi="Times New Roman" w:cs="Times New Roman"/>
        </w:rPr>
        <w:t>Do vzdělanostní struktury obyvatelstva jsou započítáni obyvatelé starší 15 let.</w:t>
      </w:r>
    </w:p>
    <w:p w:rsidR="00F158D7" w:rsidRDefault="00F158D7" w:rsidP="00F158D7">
      <w:pPr>
        <w:spacing w:after="0" w:line="240" w:lineRule="auto"/>
        <w:rPr>
          <w:rFonts w:ascii="Times New Roman" w:hAnsi="Times New Roman" w:cs="Times New Roman"/>
          <w:sz w:val="18"/>
        </w:rPr>
      </w:pPr>
      <w:r>
        <w:rPr>
          <w:rFonts w:ascii="Times New Roman" w:hAnsi="Times New Roman" w:cs="Times New Roman"/>
          <w:sz w:val="18"/>
        </w:rPr>
        <w:t>Tabulka:</w:t>
      </w:r>
      <w:r w:rsidRPr="009201EF">
        <w:rPr>
          <w:rFonts w:ascii="Times New Roman" w:hAnsi="Times New Roman" w:cs="Times New Roman"/>
          <w:sz w:val="18"/>
        </w:rPr>
        <w:t xml:space="preserve"> Struktura obyvatel podle nejvyššího dokončeného </w:t>
      </w:r>
      <w:r>
        <w:rPr>
          <w:rFonts w:ascii="Times New Roman" w:hAnsi="Times New Roman" w:cs="Times New Roman"/>
          <w:sz w:val="18"/>
        </w:rPr>
        <w:t>stupně vzdělání v % v roce 2011</w:t>
      </w:r>
    </w:p>
    <w:tbl>
      <w:tblPr>
        <w:tblW w:w="5000" w:type="pct"/>
        <w:tblCellMar>
          <w:left w:w="70" w:type="dxa"/>
          <w:right w:w="70" w:type="dxa"/>
        </w:tblCellMar>
        <w:tblLook w:val="04A0" w:firstRow="1" w:lastRow="0" w:firstColumn="1" w:lastColumn="0" w:noHBand="0" w:noVBand="1"/>
      </w:tblPr>
      <w:tblGrid>
        <w:gridCol w:w="2357"/>
        <w:gridCol w:w="1631"/>
        <w:gridCol w:w="1151"/>
        <w:gridCol w:w="1285"/>
        <w:gridCol w:w="1618"/>
        <w:gridCol w:w="1020"/>
      </w:tblGrid>
      <w:tr w:rsidR="00F158D7" w:rsidRPr="00A73114" w:rsidTr="001E4EF8">
        <w:trPr>
          <w:trHeight w:val="465"/>
        </w:trPr>
        <w:tc>
          <w:tcPr>
            <w:tcW w:w="1300" w:type="pct"/>
            <w:tcBorders>
              <w:top w:val="single" w:sz="4" w:space="0" w:color="auto"/>
              <w:left w:val="single" w:sz="4" w:space="0" w:color="auto"/>
              <w:bottom w:val="single" w:sz="4" w:space="0" w:color="auto"/>
              <w:right w:val="single" w:sz="4" w:space="0" w:color="auto"/>
            </w:tcBorders>
            <w:shd w:val="clear" w:color="000000" w:fill="1F497D"/>
            <w:noWrap/>
            <w:vAlign w:val="center"/>
            <w:hideMark/>
          </w:tcPr>
          <w:p w:rsidR="00F158D7" w:rsidRPr="00A73114" w:rsidRDefault="00F158D7" w:rsidP="001E4EF8">
            <w:pPr>
              <w:spacing w:after="0" w:line="240" w:lineRule="auto"/>
              <w:jc w:val="center"/>
              <w:rPr>
                <w:rFonts w:ascii="Times New Roman" w:eastAsia="Times New Roman" w:hAnsi="Times New Roman" w:cs="Times New Roman"/>
                <w:b/>
                <w:bCs/>
                <w:color w:val="FFFFFF"/>
                <w:sz w:val="20"/>
                <w:szCs w:val="20"/>
                <w:lang w:eastAsia="cs-CZ"/>
              </w:rPr>
            </w:pPr>
            <w:r w:rsidRPr="00A73114">
              <w:rPr>
                <w:rFonts w:ascii="Times New Roman" w:eastAsia="Times New Roman" w:hAnsi="Times New Roman" w:cs="Times New Roman"/>
                <w:b/>
                <w:bCs/>
                <w:color w:val="FFFFFF"/>
                <w:sz w:val="20"/>
                <w:szCs w:val="20"/>
                <w:lang w:eastAsia="cs-CZ"/>
              </w:rPr>
              <w:t>území</w:t>
            </w:r>
          </w:p>
        </w:tc>
        <w:tc>
          <w:tcPr>
            <w:tcW w:w="900" w:type="pct"/>
            <w:tcBorders>
              <w:top w:val="single" w:sz="4" w:space="0" w:color="auto"/>
              <w:left w:val="nil"/>
              <w:bottom w:val="single" w:sz="4" w:space="0" w:color="auto"/>
              <w:right w:val="single" w:sz="4" w:space="0" w:color="auto"/>
            </w:tcBorders>
            <w:shd w:val="clear" w:color="000000" w:fill="1F497D"/>
            <w:vAlign w:val="center"/>
            <w:hideMark/>
          </w:tcPr>
          <w:p w:rsidR="00F158D7" w:rsidRPr="00A73114" w:rsidRDefault="00F158D7" w:rsidP="001E4EF8">
            <w:pPr>
              <w:spacing w:after="0" w:line="240" w:lineRule="auto"/>
              <w:jc w:val="center"/>
              <w:rPr>
                <w:rFonts w:ascii="Times New Roman" w:eastAsia="Times New Roman" w:hAnsi="Times New Roman" w:cs="Times New Roman"/>
                <w:b/>
                <w:bCs/>
                <w:color w:val="FFFFFF"/>
                <w:sz w:val="20"/>
                <w:szCs w:val="20"/>
                <w:lang w:eastAsia="cs-CZ"/>
              </w:rPr>
            </w:pPr>
            <w:r w:rsidRPr="00A73114">
              <w:rPr>
                <w:rFonts w:ascii="Times New Roman" w:eastAsia="Times New Roman" w:hAnsi="Times New Roman" w:cs="Times New Roman"/>
                <w:b/>
                <w:bCs/>
                <w:color w:val="FFFFFF"/>
                <w:sz w:val="20"/>
                <w:szCs w:val="20"/>
                <w:lang w:eastAsia="cs-CZ"/>
              </w:rPr>
              <w:t>základní vč. neukončeného</w:t>
            </w:r>
          </w:p>
        </w:tc>
        <w:tc>
          <w:tcPr>
            <w:tcW w:w="635" w:type="pct"/>
            <w:tcBorders>
              <w:top w:val="single" w:sz="4" w:space="0" w:color="auto"/>
              <w:left w:val="nil"/>
              <w:bottom w:val="single" w:sz="4" w:space="0" w:color="auto"/>
              <w:right w:val="single" w:sz="4" w:space="0" w:color="auto"/>
            </w:tcBorders>
            <w:shd w:val="clear" w:color="000000" w:fill="1F497D"/>
            <w:vAlign w:val="center"/>
            <w:hideMark/>
          </w:tcPr>
          <w:p w:rsidR="00F158D7" w:rsidRPr="00A73114" w:rsidRDefault="00F158D7" w:rsidP="001E4EF8">
            <w:pPr>
              <w:spacing w:after="0" w:line="240" w:lineRule="auto"/>
              <w:jc w:val="center"/>
              <w:rPr>
                <w:rFonts w:ascii="Times New Roman" w:eastAsia="Times New Roman" w:hAnsi="Times New Roman" w:cs="Times New Roman"/>
                <w:b/>
                <w:bCs/>
                <w:color w:val="FFFFFF"/>
                <w:sz w:val="20"/>
                <w:szCs w:val="20"/>
                <w:lang w:eastAsia="cs-CZ"/>
              </w:rPr>
            </w:pPr>
            <w:r w:rsidRPr="00A73114">
              <w:rPr>
                <w:rFonts w:ascii="Times New Roman" w:eastAsia="Times New Roman" w:hAnsi="Times New Roman" w:cs="Times New Roman"/>
                <w:b/>
                <w:bCs/>
                <w:color w:val="FFFFFF"/>
                <w:sz w:val="20"/>
                <w:szCs w:val="20"/>
                <w:lang w:eastAsia="cs-CZ"/>
              </w:rPr>
              <w:t>střední vč. vyučení (bez maturity)</w:t>
            </w:r>
          </w:p>
        </w:tc>
        <w:tc>
          <w:tcPr>
            <w:tcW w:w="709" w:type="pct"/>
            <w:tcBorders>
              <w:top w:val="single" w:sz="4" w:space="0" w:color="auto"/>
              <w:left w:val="nil"/>
              <w:bottom w:val="single" w:sz="4" w:space="0" w:color="auto"/>
              <w:right w:val="single" w:sz="4" w:space="0" w:color="auto"/>
            </w:tcBorders>
            <w:shd w:val="clear" w:color="000000" w:fill="1F497D"/>
            <w:vAlign w:val="center"/>
            <w:hideMark/>
          </w:tcPr>
          <w:p w:rsidR="00F158D7" w:rsidRPr="00A73114" w:rsidRDefault="00F158D7" w:rsidP="001E4EF8">
            <w:pPr>
              <w:spacing w:after="0" w:line="240" w:lineRule="auto"/>
              <w:jc w:val="center"/>
              <w:rPr>
                <w:rFonts w:ascii="Times New Roman" w:eastAsia="Times New Roman" w:hAnsi="Times New Roman" w:cs="Times New Roman"/>
                <w:b/>
                <w:bCs/>
                <w:color w:val="FFFFFF"/>
                <w:sz w:val="20"/>
                <w:szCs w:val="20"/>
                <w:lang w:eastAsia="cs-CZ"/>
              </w:rPr>
            </w:pPr>
            <w:r w:rsidRPr="00A73114">
              <w:rPr>
                <w:rFonts w:ascii="Times New Roman" w:eastAsia="Times New Roman" w:hAnsi="Times New Roman" w:cs="Times New Roman"/>
                <w:b/>
                <w:bCs/>
                <w:color w:val="FFFFFF"/>
                <w:sz w:val="20"/>
                <w:szCs w:val="20"/>
                <w:lang w:eastAsia="cs-CZ"/>
              </w:rPr>
              <w:t>úplné střední (s maturitou) a vyšší odborné</w:t>
            </w:r>
          </w:p>
        </w:tc>
        <w:tc>
          <w:tcPr>
            <w:tcW w:w="893" w:type="pct"/>
            <w:tcBorders>
              <w:top w:val="single" w:sz="4" w:space="0" w:color="auto"/>
              <w:left w:val="nil"/>
              <w:bottom w:val="single" w:sz="4" w:space="0" w:color="auto"/>
              <w:right w:val="single" w:sz="4" w:space="0" w:color="auto"/>
            </w:tcBorders>
            <w:shd w:val="clear" w:color="000000" w:fill="1F497D"/>
            <w:noWrap/>
            <w:vAlign w:val="center"/>
            <w:hideMark/>
          </w:tcPr>
          <w:p w:rsidR="00F158D7" w:rsidRPr="00A73114" w:rsidRDefault="00F158D7" w:rsidP="001E4EF8">
            <w:pPr>
              <w:spacing w:after="0" w:line="240" w:lineRule="auto"/>
              <w:jc w:val="center"/>
              <w:rPr>
                <w:rFonts w:ascii="Times New Roman" w:eastAsia="Times New Roman" w:hAnsi="Times New Roman" w:cs="Times New Roman"/>
                <w:b/>
                <w:bCs/>
                <w:color w:val="FFFFFF"/>
                <w:sz w:val="20"/>
                <w:szCs w:val="20"/>
                <w:lang w:eastAsia="cs-CZ"/>
              </w:rPr>
            </w:pPr>
            <w:r w:rsidRPr="00A73114">
              <w:rPr>
                <w:rFonts w:ascii="Times New Roman" w:eastAsia="Times New Roman" w:hAnsi="Times New Roman" w:cs="Times New Roman"/>
                <w:b/>
                <w:bCs/>
                <w:color w:val="FFFFFF"/>
                <w:sz w:val="20"/>
                <w:szCs w:val="20"/>
                <w:lang w:eastAsia="cs-CZ"/>
              </w:rPr>
              <w:t>vysokoškolské</w:t>
            </w:r>
          </w:p>
        </w:tc>
        <w:tc>
          <w:tcPr>
            <w:tcW w:w="563" w:type="pct"/>
            <w:tcBorders>
              <w:top w:val="single" w:sz="4" w:space="0" w:color="auto"/>
              <w:left w:val="nil"/>
              <w:bottom w:val="single" w:sz="4" w:space="0" w:color="auto"/>
              <w:right w:val="single" w:sz="4" w:space="0" w:color="auto"/>
            </w:tcBorders>
            <w:shd w:val="clear" w:color="000000" w:fill="1F497D"/>
            <w:vAlign w:val="center"/>
            <w:hideMark/>
          </w:tcPr>
          <w:p w:rsidR="00F158D7" w:rsidRPr="00A73114" w:rsidRDefault="00F158D7" w:rsidP="001E4EF8">
            <w:pPr>
              <w:spacing w:after="0" w:line="240" w:lineRule="auto"/>
              <w:jc w:val="center"/>
              <w:rPr>
                <w:rFonts w:ascii="Times New Roman" w:eastAsia="Times New Roman" w:hAnsi="Times New Roman" w:cs="Times New Roman"/>
                <w:b/>
                <w:bCs/>
                <w:color w:val="FFFFFF"/>
                <w:sz w:val="20"/>
                <w:szCs w:val="20"/>
                <w:lang w:eastAsia="cs-CZ"/>
              </w:rPr>
            </w:pPr>
            <w:r w:rsidRPr="00A73114">
              <w:rPr>
                <w:rFonts w:ascii="Times New Roman" w:eastAsia="Times New Roman" w:hAnsi="Times New Roman" w:cs="Times New Roman"/>
                <w:b/>
                <w:bCs/>
                <w:color w:val="FFFFFF"/>
                <w:sz w:val="20"/>
                <w:szCs w:val="20"/>
                <w:lang w:eastAsia="cs-CZ"/>
              </w:rPr>
              <w:t>bez vzdělání</w:t>
            </w:r>
          </w:p>
        </w:tc>
      </w:tr>
      <w:tr w:rsidR="00F158D7" w:rsidRPr="00A73114" w:rsidTr="001E4EF8">
        <w:trPr>
          <w:trHeight w:val="227"/>
        </w:trPr>
        <w:tc>
          <w:tcPr>
            <w:tcW w:w="1300" w:type="pct"/>
            <w:tcBorders>
              <w:top w:val="nil"/>
              <w:left w:val="single" w:sz="4" w:space="0" w:color="auto"/>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rPr>
                <w:rFonts w:ascii="Times New Roman" w:eastAsia="Times New Roman" w:hAnsi="Times New Roman" w:cs="Times New Roman"/>
                <w:b/>
                <w:bCs/>
                <w:color w:val="000000"/>
                <w:sz w:val="20"/>
                <w:szCs w:val="20"/>
                <w:lang w:eastAsia="cs-CZ"/>
              </w:rPr>
            </w:pPr>
            <w:r w:rsidRPr="00A73114">
              <w:rPr>
                <w:rFonts w:ascii="Times New Roman" w:eastAsia="Times New Roman" w:hAnsi="Times New Roman" w:cs="Times New Roman"/>
                <w:b/>
                <w:bCs/>
                <w:color w:val="000000"/>
                <w:sz w:val="20"/>
                <w:szCs w:val="20"/>
                <w:lang w:eastAsia="cs-CZ"/>
              </w:rPr>
              <w:t>Zásada</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14,1</w:t>
            </w:r>
          </w:p>
        </w:tc>
        <w:tc>
          <w:tcPr>
            <w:tcW w:w="635" w:type="pct"/>
            <w:tcBorders>
              <w:top w:val="single" w:sz="4" w:space="0" w:color="auto"/>
              <w:left w:val="nil"/>
              <w:bottom w:val="single" w:sz="4" w:space="0" w:color="auto"/>
              <w:right w:val="single" w:sz="4" w:space="0" w:color="auto"/>
            </w:tcBorders>
            <w:shd w:val="clear" w:color="auto" w:fill="auto"/>
            <w:noWrap/>
            <w:vAlign w:val="bottom"/>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33,4</w:t>
            </w:r>
          </w:p>
        </w:tc>
        <w:tc>
          <w:tcPr>
            <w:tcW w:w="709" w:type="pct"/>
            <w:tcBorders>
              <w:top w:val="single" w:sz="4" w:space="0" w:color="auto"/>
              <w:left w:val="nil"/>
              <w:bottom w:val="single" w:sz="4" w:space="0" w:color="auto"/>
              <w:right w:val="single" w:sz="4" w:space="0" w:color="auto"/>
            </w:tcBorders>
            <w:shd w:val="clear" w:color="auto" w:fill="auto"/>
            <w:noWrap/>
            <w:vAlign w:val="bottom"/>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38,9</w:t>
            </w:r>
          </w:p>
        </w:tc>
        <w:tc>
          <w:tcPr>
            <w:tcW w:w="893" w:type="pct"/>
            <w:tcBorders>
              <w:top w:val="single" w:sz="4" w:space="0" w:color="auto"/>
              <w:left w:val="nil"/>
              <w:bottom w:val="single" w:sz="4" w:space="0" w:color="auto"/>
              <w:right w:val="single" w:sz="4" w:space="0" w:color="auto"/>
            </w:tcBorders>
            <w:shd w:val="clear" w:color="auto" w:fill="auto"/>
            <w:noWrap/>
            <w:vAlign w:val="bottom"/>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12,9</w:t>
            </w:r>
          </w:p>
        </w:tc>
        <w:tc>
          <w:tcPr>
            <w:tcW w:w="563" w:type="pct"/>
            <w:tcBorders>
              <w:top w:val="single" w:sz="4" w:space="0" w:color="auto"/>
              <w:left w:val="nil"/>
              <w:bottom w:val="single" w:sz="4" w:space="0" w:color="auto"/>
              <w:right w:val="single" w:sz="4" w:space="0" w:color="auto"/>
            </w:tcBorders>
            <w:shd w:val="clear" w:color="auto" w:fill="auto"/>
            <w:noWrap/>
            <w:vAlign w:val="bottom"/>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0,7</w:t>
            </w:r>
          </w:p>
        </w:tc>
      </w:tr>
      <w:tr w:rsidR="00F158D7" w:rsidRPr="00A73114" w:rsidTr="001E4EF8">
        <w:trPr>
          <w:trHeight w:val="227"/>
        </w:trPr>
        <w:tc>
          <w:tcPr>
            <w:tcW w:w="1300" w:type="pct"/>
            <w:tcBorders>
              <w:top w:val="nil"/>
              <w:left w:val="single" w:sz="4" w:space="0" w:color="auto"/>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rPr>
                <w:rFonts w:ascii="Times New Roman" w:eastAsia="Times New Roman" w:hAnsi="Times New Roman" w:cs="Times New Roman"/>
                <w:b/>
                <w:bCs/>
                <w:color w:val="000000"/>
                <w:sz w:val="20"/>
                <w:szCs w:val="20"/>
                <w:lang w:eastAsia="cs-CZ"/>
              </w:rPr>
            </w:pPr>
            <w:r w:rsidRPr="00A73114">
              <w:rPr>
                <w:rFonts w:ascii="Times New Roman" w:eastAsia="Times New Roman" w:hAnsi="Times New Roman" w:cs="Times New Roman"/>
                <w:b/>
                <w:bCs/>
                <w:color w:val="000000"/>
                <w:sz w:val="20"/>
                <w:szCs w:val="20"/>
                <w:lang w:eastAsia="cs-CZ"/>
              </w:rPr>
              <w:t>SO ORP Železný Brod</w:t>
            </w:r>
          </w:p>
        </w:tc>
        <w:tc>
          <w:tcPr>
            <w:tcW w:w="900" w:type="pct"/>
            <w:tcBorders>
              <w:top w:val="nil"/>
              <w:left w:val="single" w:sz="4" w:space="0" w:color="auto"/>
              <w:bottom w:val="single" w:sz="4" w:space="0" w:color="auto"/>
              <w:right w:val="single" w:sz="4" w:space="0" w:color="auto"/>
            </w:tcBorders>
            <w:shd w:val="clear" w:color="auto" w:fill="auto"/>
            <w:noWrap/>
            <w:vAlign w:val="bottom"/>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17,8</w:t>
            </w:r>
          </w:p>
        </w:tc>
        <w:tc>
          <w:tcPr>
            <w:tcW w:w="635" w:type="pct"/>
            <w:tcBorders>
              <w:top w:val="nil"/>
              <w:left w:val="nil"/>
              <w:bottom w:val="single" w:sz="4" w:space="0" w:color="auto"/>
              <w:right w:val="single" w:sz="4" w:space="0" w:color="auto"/>
            </w:tcBorders>
            <w:shd w:val="clear" w:color="auto" w:fill="auto"/>
            <w:noWrap/>
            <w:vAlign w:val="bottom"/>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40,5</w:t>
            </w:r>
          </w:p>
        </w:tc>
        <w:tc>
          <w:tcPr>
            <w:tcW w:w="709" w:type="pct"/>
            <w:tcBorders>
              <w:top w:val="nil"/>
              <w:left w:val="nil"/>
              <w:bottom w:val="single" w:sz="4" w:space="0" w:color="auto"/>
              <w:right w:val="single" w:sz="4" w:space="0" w:color="auto"/>
            </w:tcBorders>
            <w:shd w:val="clear" w:color="auto" w:fill="auto"/>
            <w:noWrap/>
            <w:vAlign w:val="bottom"/>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32,5</w:t>
            </w:r>
          </w:p>
        </w:tc>
        <w:tc>
          <w:tcPr>
            <w:tcW w:w="893" w:type="pct"/>
            <w:tcBorders>
              <w:top w:val="nil"/>
              <w:left w:val="nil"/>
              <w:bottom w:val="single" w:sz="4" w:space="0" w:color="auto"/>
              <w:right w:val="single" w:sz="4" w:space="0" w:color="auto"/>
            </w:tcBorders>
            <w:shd w:val="clear" w:color="auto" w:fill="auto"/>
            <w:noWrap/>
            <w:vAlign w:val="bottom"/>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8,8</w:t>
            </w:r>
          </w:p>
        </w:tc>
        <w:tc>
          <w:tcPr>
            <w:tcW w:w="563" w:type="pct"/>
            <w:tcBorders>
              <w:top w:val="nil"/>
              <w:left w:val="nil"/>
              <w:bottom w:val="single" w:sz="4" w:space="0" w:color="auto"/>
              <w:right w:val="single" w:sz="4" w:space="0" w:color="auto"/>
            </w:tcBorders>
            <w:shd w:val="clear" w:color="auto" w:fill="auto"/>
            <w:noWrap/>
            <w:vAlign w:val="bottom"/>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0,4</w:t>
            </w:r>
          </w:p>
        </w:tc>
      </w:tr>
    </w:tbl>
    <w:p w:rsidR="00F158D7" w:rsidRPr="00C92C1C" w:rsidRDefault="00F158D7" w:rsidP="00F158D7">
      <w:pPr>
        <w:spacing w:line="240" w:lineRule="auto"/>
        <w:rPr>
          <w:rFonts w:ascii="Times New Roman" w:hAnsi="Times New Roman" w:cs="Times New Roman"/>
          <w:sz w:val="18"/>
        </w:rPr>
      </w:pPr>
      <w:r>
        <w:rPr>
          <w:rFonts w:ascii="Times New Roman" w:hAnsi="Times New Roman" w:cs="Times New Roman"/>
          <w:sz w:val="18"/>
        </w:rPr>
        <w:t>Z</w:t>
      </w:r>
      <w:r w:rsidRPr="009201EF">
        <w:rPr>
          <w:rFonts w:ascii="Times New Roman" w:hAnsi="Times New Roman" w:cs="Times New Roman"/>
          <w:sz w:val="18"/>
        </w:rPr>
        <w:t xml:space="preserve">droj: ČSÚ </w:t>
      </w:r>
      <w:r>
        <w:rPr>
          <w:rFonts w:ascii="Times New Roman" w:hAnsi="Times New Roman" w:cs="Times New Roman"/>
          <w:sz w:val="18"/>
        </w:rPr>
        <w:t>– SLDB 2011, vlastní zpracování</w:t>
      </w:r>
    </w:p>
    <w:p w:rsidR="00F158D7" w:rsidRDefault="00F158D7" w:rsidP="00F158D7">
      <w:pPr>
        <w:jc w:val="both"/>
        <w:rPr>
          <w:rFonts w:ascii="Times New Roman" w:hAnsi="Times New Roman" w:cs="Times New Roman"/>
        </w:rPr>
      </w:pPr>
      <w:r>
        <w:rPr>
          <w:rFonts w:ascii="Times New Roman" w:hAnsi="Times New Roman" w:cs="Times New Roman"/>
        </w:rPr>
        <w:t>Obec dosahuje</w:t>
      </w:r>
      <w:r w:rsidRPr="009201EF">
        <w:rPr>
          <w:rFonts w:ascii="Times New Roman" w:hAnsi="Times New Roman" w:cs="Times New Roman"/>
        </w:rPr>
        <w:t xml:space="preserve"> ve srovnání s širším územím ve vzdělanostní stru</w:t>
      </w:r>
      <w:r>
        <w:rPr>
          <w:rFonts w:ascii="Times New Roman" w:hAnsi="Times New Roman" w:cs="Times New Roman"/>
        </w:rPr>
        <w:t>ktuře obyvatelstva lepších</w:t>
      </w:r>
      <w:r w:rsidRPr="009201EF">
        <w:rPr>
          <w:rFonts w:ascii="Times New Roman" w:hAnsi="Times New Roman" w:cs="Times New Roman"/>
        </w:rPr>
        <w:t xml:space="preserve"> hodnot. Nejvíce je zde zastoupena skupina obyvatel, která dokon</w:t>
      </w:r>
      <w:r>
        <w:rPr>
          <w:rFonts w:ascii="Times New Roman" w:hAnsi="Times New Roman" w:cs="Times New Roman"/>
        </w:rPr>
        <w:t>čila vzdělání úplné střední s maturitou</w:t>
      </w:r>
      <w:r w:rsidRPr="009201EF">
        <w:rPr>
          <w:rFonts w:ascii="Times New Roman" w:hAnsi="Times New Roman" w:cs="Times New Roman"/>
        </w:rPr>
        <w:t>.</w:t>
      </w:r>
      <w:r>
        <w:rPr>
          <w:rFonts w:ascii="Times New Roman" w:hAnsi="Times New Roman" w:cs="Times New Roman"/>
        </w:rPr>
        <w:t xml:space="preserve">  </w:t>
      </w:r>
    </w:p>
    <w:p w:rsidR="00F158D7" w:rsidRDefault="00F158D7" w:rsidP="00F158D7">
      <w:pPr>
        <w:spacing w:after="0" w:line="240" w:lineRule="auto"/>
        <w:rPr>
          <w:rFonts w:ascii="Times New Roman" w:hAnsi="Times New Roman" w:cs="Times New Roman"/>
          <w:sz w:val="18"/>
        </w:rPr>
      </w:pPr>
      <w:r>
        <w:rPr>
          <w:rFonts w:ascii="Times New Roman" w:hAnsi="Times New Roman" w:cs="Times New Roman"/>
          <w:sz w:val="18"/>
        </w:rPr>
        <w:t xml:space="preserve">Tabulka: </w:t>
      </w:r>
      <w:r w:rsidRPr="009201EF">
        <w:rPr>
          <w:rFonts w:ascii="Times New Roman" w:hAnsi="Times New Roman" w:cs="Times New Roman"/>
          <w:sz w:val="18"/>
        </w:rPr>
        <w:t xml:space="preserve">Struktura obyvatel podle nejvyššího dokončeného stupně </w:t>
      </w:r>
      <w:r>
        <w:rPr>
          <w:rFonts w:ascii="Times New Roman" w:hAnsi="Times New Roman" w:cs="Times New Roman"/>
          <w:sz w:val="18"/>
        </w:rPr>
        <w:t>vzdělání a pohlaví absolutně v roce 2011</w:t>
      </w:r>
    </w:p>
    <w:tbl>
      <w:tblPr>
        <w:tblW w:w="5000" w:type="pct"/>
        <w:tblCellMar>
          <w:left w:w="70" w:type="dxa"/>
          <w:right w:w="70" w:type="dxa"/>
        </w:tblCellMar>
        <w:tblLook w:val="04A0" w:firstRow="1" w:lastRow="0" w:firstColumn="1" w:lastColumn="0" w:noHBand="0" w:noVBand="1"/>
      </w:tblPr>
      <w:tblGrid>
        <w:gridCol w:w="1035"/>
        <w:gridCol w:w="1441"/>
        <w:gridCol w:w="1290"/>
        <w:gridCol w:w="1298"/>
        <w:gridCol w:w="1429"/>
        <w:gridCol w:w="1288"/>
        <w:gridCol w:w="1281"/>
      </w:tblGrid>
      <w:tr w:rsidR="00F158D7" w:rsidRPr="00A73114" w:rsidTr="001E4EF8">
        <w:trPr>
          <w:trHeight w:val="1020"/>
        </w:trPr>
        <w:tc>
          <w:tcPr>
            <w:tcW w:w="543" w:type="pct"/>
            <w:tcBorders>
              <w:top w:val="single" w:sz="4" w:space="0" w:color="auto"/>
              <w:left w:val="single" w:sz="4" w:space="0" w:color="auto"/>
              <w:bottom w:val="single" w:sz="4" w:space="0" w:color="auto"/>
              <w:right w:val="single" w:sz="4" w:space="0" w:color="auto"/>
            </w:tcBorders>
            <w:shd w:val="clear" w:color="000000" w:fill="1F497D"/>
            <w:noWrap/>
            <w:vAlign w:val="center"/>
            <w:hideMark/>
          </w:tcPr>
          <w:p w:rsidR="00F158D7" w:rsidRPr="00A73114" w:rsidRDefault="00F158D7" w:rsidP="001E4EF8">
            <w:pPr>
              <w:spacing w:after="0" w:line="240" w:lineRule="auto"/>
              <w:jc w:val="center"/>
              <w:rPr>
                <w:rFonts w:ascii="Times New Roman" w:eastAsia="Times New Roman" w:hAnsi="Times New Roman" w:cs="Times New Roman"/>
                <w:b/>
                <w:bCs/>
                <w:color w:val="FFFFFF"/>
                <w:sz w:val="20"/>
                <w:szCs w:val="20"/>
                <w:lang w:eastAsia="cs-CZ"/>
              </w:rPr>
            </w:pPr>
            <w:r w:rsidRPr="00A73114">
              <w:rPr>
                <w:rFonts w:ascii="Times New Roman" w:eastAsia="Times New Roman" w:hAnsi="Times New Roman" w:cs="Times New Roman"/>
                <w:b/>
                <w:bCs/>
                <w:color w:val="FFFFFF"/>
                <w:sz w:val="20"/>
                <w:szCs w:val="20"/>
                <w:lang w:eastAsia="cs-CZ"/>
              </w:rPr>
              <w:t>území</w:t>
            </w:r>
          </w:p>
        </w:tc>
        <w:tc>
          <w:tcPr>
            <w:tcW w:w="800" w:type="pct"/>
            <w:tcBorders>
              <w:top w:val="single" w:sz="4" w:space="0" w:color="auto"/>
              <w:left w:val="nil"/>
              <w:bottom w:val="single" w:sz="4" w:space="0" w:color="auto"/>
              <w:right w:val="single" w:sz="4" w:space="0" w:color="auto"/>
            </w:tcBorders>
            <w:shd w:val="clear" w:color="000000" w:fill="1F497D"/>
            <w:vAlign w:val="center"/>
            <w:hideMark/>
          </w:tcPr>
          <w:p w:rsidR="00F158D7" w:rsidRPr="00A73114" w:rsidRDefault="00F158D7" w:rsidP="001E4EF8">
            <w:pPr>
              <w:spacing w:after="0" w:line="240" w:lineRule="auto"/>
              <w:jc w:val="center"/>
              <w:rPr>
                <w:rFonts w:ascii="Times New Roman" w:eastAsia="Times New Roman" w:hAnsi="Times New Roman" w:cs="Times New Roman"/>
                <w:b/>
                <w:bCs/>
                <w:color w:val="FFFFFF"/>
                <w:sz w:val="20"/>
                <w:szCs w:val="20"/>
                <w:lang w:eastAsia="cs-CZ"/>
              </w:rPr>
            </w:pPr>
            <w:r w:rsidRPr="00A73114">
              <w:rPr>
                <w:rFonts w:ascii="Times New Roman" w:eastAsia="Times New Roman" w:hAnsi="Times New Roman" w:cs="Times New Roman"/>
                <w:b/>
                <w:bCs/>
                <w:color w:val="FFFFFF"/>
                <w:sz w:val="20"/>
                <w:szCs w:val="20"/>
                <w:lang w:eastAsia="cs-CZ"/>
              </w:rPr>
              <w:t>základní vč. neukončeného</w:t>
            </w:r>
          </w:p>
        </w:tc>
        <w:tc>
          <w:tcPr>
            <w:tcW w:w="717" w:type="pct"/>
            <w:tcBorders>
              <w:top w:val="single" w:sz="4" w:space="0" w:color="auto"/>
              <w:left w:val="nil"/>
              <w:bottom w:val="single" w:sz="4" w:space="0" w:color="auto"/>
              <w:right w:val="single" w:sz="4" w:space="0" w:color="auto"/>
            </w:tcBorders>
            <w:shd w:val="clear" w:color="000000" w:fill="1F497D"/>
            <w:vAlign w:val="center"/>
            <w:hideMark/>
          </w:tcPr>
          <w:p w:rsidR="00F158D7" w:rsidRPr="00A73114" w:rsidRDefault="00F158D7" w:rsidP="001E4EF8">
            <w:pPr>
              <w:spacing w:after="0" w:line="240" w:lineRule="auto"/>
              <w:jc w:val="center"/>
              <w:rPr>
                <w:rFonts w:ascii="Times New Roman" w:eastAsia="Times New Roman" w:hAnsi="Times New Roman" w:cs="Times New Roman"/>
                <w:b/>
                <w:bCs/>
                <w:color w:val="FFFFFF"/>
                <w:sz w:val="20"/>
                <w:szCs w:val="20"/>
                <w:lang w:eastAsia="cs-CZ"/>
              </w:rPr>
            </w:pPr>
            <w:r w:rsidRPr="00A73114">
              <w:rPr>
                <w:rFonts w:ascii="Times New Roman" w:eastAsia="Times New Roman" w:hAnsi="Times New Roman" w:cs="Times New Roman"/>
                <w:b/>
                <w:bCs/>
                <w:color w:val="FFFFFF"/>
                <w:sz w:val="20"/>
                <w:szCs w:val="20"/>
                <w:lang w:eastAsia="cs-CZ"/>
              </w:rPr>
              <w:t>střední vč. vyučení (bez maturity)</w:t>
            </w:r>
          </w:p>
        </w:tc>
        <w:tc>
          <w:tcPr>
            <w:tcW w:w="721" w:type="pct"/>
            <w:tcBorders>
              <w:top w:val="single" w:sz="4" w:space="0" w:color="auto"/>
              <w:left w:val="nil"/>
              <w:bottom w:val="single" w:sz="4" w:space="0" w:color="auto"/>
              <w:right w:val="single" w:sz="4" w:space="0" w:color="auto"/>
            </w:tcBorders>
            <w:shd w:val="clear" w:color="000000" w:fill="1F497D"/>
            <w:vAlign w:val="center"/>
            <w:hideMark/>
          </w:tcPr>
          <w:p w:rsidR="00F158D7" w:rsidRPr="00A73114" w:rsidRDefault="00F158D7" w:rsidP="001E4EF8">
            <w:pPr>
              <w:spacing w:after="0" w:line="240" w:lineRule="auto"/>
              <w:jc w:val="center"/>
              <w:rPr>
                <w:rFonts w:ascii="Times New Roman" w:eastAsia="Times New Roman" w:hAnsi="Times New Roman" w:cs="Times New Roman"/>
                <w:b/>
                <w:bCs/>
                <w:color w:val="FFFFFF"/>
                <w:sz w:val="20"/>
                <w:szCs w:val="20"/>
                <w:lang w:eastAsia="cs-CZ"/>
              </w:rPr>
            </w:pPr>
            <w:r w:rsidRPr="00A73114">
              <w:rPr>
                <w:rFonts w:ascii="Times New Roman" w:eastAsia="Times New Roman" w:hAnsi="Times New Roman" w:cs="Times New Roman"/>
                <w:b/>
                <w:bCs/>
                <w:color w:val="FFFFFF"/>
                <w:sz w:val="20"/>
                <w:szCs w:val="20"/>
                <w:lang w:eastAsia="cs-CZ"/>
              </w:rPr>
              <w:t>úplné střední (s maturitou) a vyšší odborné</w:t>
            </w:r>
          </w:p>
        </w:tc>
        <w:tc>
          <w:tcPr>
            <w:tcW w:w="793" w:type="pct"/>
            <w:tcBorders>
              <w:top w:val="single" w:sz="4" w:space="0" w:color="auto"/>
              <w:left w:val="nil"/>
              <w:bottom w:val="single" w:sz="4" w:space="0" w:color="auto"/>
              <w:right w:val="single" w:sz="4" w:space="0" w:color="auto"/>
            </w:tcBorders>
            <w:shd w:val="clear" w:color="000000" w:fill="1F497D"/>
            <w:noWrap/>
            <w:vAlign w:val="center"/>
            <w:hideMark/>
          </w:tcPr>
          <w:p w:rsidR="00F158D7" w:rsidRPr="00A73114" w:rsidRDefault="00F158D7" w:rsidP="001E4EF8">
            <w:pPr>
              <w:spacing w:after="0" w:line="240" w:lineRule="auto"/>
              <w:jc w:val="center"/>
              <w:rPr>
                <w:rFonts w:ascii="Times New Roman" w:eastAsia="Times New Roman" w:hAnsi="Times New Roman" w:cs="Times New Roman"/>
                <w:b/>
                <w:bCs/>
                <w:color w:val="FFFFFF"/>
                <w:sz w:val="20"/>
                <w:szCs w:val="20"/>
                <w:lang w:eastAsia="cs-CZ"/>
              </w:rPr>
            </w:pPr>
            <w:r w:rsidRPr="00A73114">
              <w:rPr>
                <w:rFonts w:ascii="Times New Roman" w:eastAsia="Times New Roman" w:hAnsi="Times New Roman" w:cs="Times New Roman"/>
                <w:b/>
                <w:bCs/>
                <w:color w:val="FFFFFF"/>
                <w:sz w:val="20"/>
                <w:szCs w:val="20"/>
                <w:lang w:eastAsia="cs-CZ"/>
              </w:rPr>
              <w:t>vysokoškolské</w:t>
            </w:r>
          </w:p>
        </w:tc>
        <w:tc>
          <w:tcPr>
            <w:tcW w:w="715" w:type="pct"/>
            <w:tcBorders>
              <w:top w:val="single" w:sz="4" w:space="0" w:color="auto"/>
              <w:left w:val="nil"/>
              <w:bottom w:val="single" w:sz="4" w:space="0" w:color="auto"/>
              <w:right w:val="single" w:sz="4" w:space="0" w:color="auto"/>
            </w:tcBorders>
            <w:shd w:val="clear" w:color="000000" w:fill="1F497D"/>
            <w:vAlign w:val="center"/>
            <w:hideMark/>
          </w:tcPr>
          <w:p w:rsidR="00F158D7" w:rsidRPr="00A73114" w:rsidRDefault="00F158D7" w:rsidP="001E4EF8">
            <w:pPr>
              <w:spacing w:after="0" w:line="240" w:lineRule="auto"/>
              <w:jc w:val="center"/>
              <w:rPr>
                <w:rFonts w:ascii="Times New Roman" w:eastAsia="Times New Roman" w:hAnsi="Times New Roman" w:cs="Times New Roman"/>
                <w:b/>
                <w:bCs/>
                <w:color w:val="FFFFFF"/>
                <w:sz w:val="20"/>
                <w:szCs w:val="20"/>
                <w:lang w:eastAsia="cs-CZ"/>
              </w:rPr>
            </w:pPr>
            <w:r w:rsidRPr="00A73114">
              <w:rPr>
                <w:rFonts w:ascii="Times New Roman" w:eastAsia="Times New Roman" w:hAnsi="Times New Roman" w:cs="Times New Roman"/>
                <w:b/>
                <w:bCs/>
                <w:color w:val="FFFFFF"/>
                <w:sz w:val="20"/>
                <w:szCs w:val="20"/>
                <w:lang w:eastAsia="cs-CZ"/>
              </w:rPr>
              <w:t>bez vzdělání</w:t>
            </w:r>
          </w:p>
        </w:tc>
        <w:tc>
          <w:tcPr>
            <w:tcW w:w="711" w:type="pct"/>
            <w:tcBorders>
              <w:top w:val="single" w:sz="4" w:space="0" w:color="auto"/>
              <w:left w:val="nil"/>
              <w:bottom w:val="single" w:sz="4" w:space="0" w:color="auto"/>
              <w:right w:val="single" w:sz="4" w:space="0" w:color="auto"/>
            </w:tcBorders>
            <w:shd w:val="clear" w:color="000000" w:fill="1F497D"/>
            <w:vAlign w:val="center"/>
            <w:hideMark/>
          </w:tcPr>
          <w:p w:rsidR="00F158D7" w:rsidRPr="00A73114" w:rsidRDefault="00F158D7" w:rsidP="001E4EF8">
            <w:pPr>
              <w:spacing w:after="0" w:line="240" w:lineRule="auto"/>
              <w:jc w:val="center"/>
              <w:rPr>
                <w:rFonts w:ascii="Times New Roman" w:eastAsia="Times New Roman" w:hAnsi="Times New Roman" w:cs="Times New Roman"/>
                <w:b/>
                <w:bCs/>
                <w:color w:val="FFFFFF"/>
                <w:sz w:val="20"/>
                <w:szCs w:val="20"/>
                <w:lang w:eastAsia="cs-CZ"/>
              </w:rPr>
            </w:pPr>
            <w:r w:rsidRPr="00A73114">
              <w:rPr>
                <w:rFonts w:ascii="Times New Roman" w:eastAsia="Times New Roman" w:hAnsi="Times New Roman" w:cs="Times New Roman"/>
                <w:b/>
                <w:bCs/>
                <w:color w:val="FFFFFF"/>
                <w:sz w:val="20"/>
                <w:szCs w:val="20"/>
                <w:lang w:eastAsia="cs-CZ"/>
              </w:rPr>
              <w:t>Celkem</w:t>
            </w:r>
          </w:p>
        </w:tc>
      </w:tr>
      <w:tr w:rsidR="00F158D7" w:rsidRPr="00A73114" w:rsidTr="001E4EF8">
        <w:trPr>
          <w:trHeight w:val="227"/>
        </w:trPr>
        <w:tc>
          <w:tcPr>
            <w:tcW w:w="543" w:type="pct"/>
            <w:tcBorders>
              <w:top w:val="nil"/>
              <w:left w:val="single" w:sz="4" w:space="0" w:color="auto"/>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rPr>
                <w:rFonts w:ascii="Times New Roman" w:eastAsia="Times New Roman" w:hAnsi="Times New Roman" w:cs="Times New Roman"/>
                <w:b/>
                <w:bCs/>
                <w:color w:val="000000"/>
                <w:sz w:val="20"/>
                <w:szCs w:val="20"/>
                <w:lang w:eastAsia="cs-CZ"/>
              </w:rPr>
            </w:pPr>
            <w:r w:rsidRPr="00A73114">
              <w:rPr>
                <w:rFonts w:ascii="Times New Roman" w:eastAsia="Times New Roman" w:hAnsi="Times New Roman" w:cs="Times New Roman"/>
                <w:b/>
                <w:bCs/>
                <w:color w:val="000000"/>
                <w:sz w:val="20"/>
                <w:szCs w:val="20"/>
                <w:lang w:eastAsia="cs-CZ"/>
              </w:rPr>
              <w:t>Zásada</w:t>
            </w:r>
          </w:p>
        </w:tc>
        <w:tc>
          <w:tcPr>
            <w:tcW w:w="8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100</w:t>
            </w:r>
          </w:p>
        </w:tc>
        <w:tc>
          <w:tcPr>
            <w:tcW w:w="717" w:type="pct"/>
            <w:tcBorders>
              <w:top w:val="single" w:sz="4" w:space="0" w:color="auto"/>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236</w:t>
            </w:r>
          </w:p>
        </w:tc>
        <w:tc>
          <w:tcPr>
            <w:tcW w:w="721" w:type="pct"/>
            <w:tcBorders>
              <w:top w:val="single" w:sz="4" w:space="0" w:color="auto"/>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275</w:t>
            </w:r>
          </w:p>
        </w:tc>
        <w:tc>
          <w:tcPr>
            <w:tcW w:w="793" w:type="pct"/>
            <w:tcBorders>
              <w:top w:val="single" w:sz="4" w:space="0" w:color="auto"/>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91</w:t>
            </w:r>
          </w:p>
        </w:tc>
        <w:tc>
          <w:tcPr>
            <w:tcW w:w="715" w:type="pct"/>
            <w:tcBorders>
              <w:top w:val="single" w:sz="4" w:space="0" w:color="auto"/>
              <w:left w:val="nil"/>
              <w:bottom w:val="single" w:sz="4" w:space="0" w:color="auto"/>
              <w:right w:val="single" w:sz="4" w:space="0" w:color="auto"/>
            </w:tcBorders>
            <w:shd w:val="clear" w:color="auto" w:fill="auto"/>
            <w:vAlign w:val="center"/>
            <w:hideMark/>
          </w:tcPr>
          <w:p w:rsidR="00F158D7" w:rsidRPr="00A73114" w:rsidRDefault="00F158D7" w:rsidP="001E4EF8">
            <w:pPr>
              <w:spacing w:after="0" w:line="240" w:lineRule="auto"/>
              <w:jc w:val="center"/>
              <w:rPr>
                <w:rFonts w:ascii="Arial" w:eastAsia="Times New Roman" w:hAnsi="Arial" w:cs="Arial"/>
                <w:sz w:val="20"/>
                <w:szCs w:val="20"/>
                <w:lang w:eastAsia="cs-CZ"/>
              </w:rPr>
            </w:pPr>
            <w:r w:rsidRPr="00A73114">
              <w:rPr>
                <w:rFonts w:ascii="Arial" w:eastAsia="Times New Roman" w:hAnsi="Arial" w:cs="Arial"/>
                <w:sz w:val="20"/>
                <w:szCs w:val="20"/>
                <w:lang w:eastAsia="cs-CZ"/>
              </w:rPr>
              <w:t>5</w:t>
            </w:r>
          </w:p>
        </w:tc>
        <w:tc>
          <w:tcPr>
            <w:tcW w:w="711" w:type="pct"/>
            <w:tcBorders>
              <w:top w:val="single" w:sz="4" w:space="0" w:color="auto"/>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707</w:t>
            </w:r>
          </w:p>
        </w:tc>
      </w:tr>
      <w:tr w:rsidR="00F158D7" w:rsidRPr="00A73114" w:rsidTr="001E4EF8">
        <w:trPr>
          <w:trHeight w:val="227"/>
        </w:trPr>
        <w:tc>
          <w:tcPr>
            <w:tcW w:w="543" w:type="pct"/>
            <w:tcBorders>
              <w:top w:val="nil"/>
              <w:left w:val="single" w:sz="4" w:space="0" w:color="auto"/>
              <w:bottom w:val="single" w:sz="4" w:space="0" w:color="auto"/>
              <w:right w:val="single" w:sz="4" w:space="0" w:color="auto"/>
            </w:tcBorders>
            <w:shd w:val="clear" w:color="auto" w:fill="auto"/>
            <w:noWrap/>
            <w:vAlign w:val="bottom"/>
            <w:hideMark/>
          </w:tcPr>
          <w:p w:rsidR="00F158D7" w:rsidRPr="00A73114" w:rsidRDefault="00F158D7" w:rsidP="001E4EF8">
            <w:pPr>
              <w:spacing w:after="0" w:line="240" w:lineRule="auto"/>
              <w:rPr>
                <w:rFonts w:ascii="Times New Roman" w:eastAsia="Times New Roman" w:hAnsi="Times New Roman" w:cs="Times New Roman"/>
                <w:b/>
                <w:bCs/>
                <w:color w:val="000000"/>
                <w:sz w:val="20"/>
                <w:szCs w:val="20"/>
                <w:lang w:eastAsia="cs-CZ"/>
              </w:rPr>
            </w:pPr>
            <w:r w:rsidRPr="00A73114">
              <w:rPr>
                <w:rFonts w:ascii="Times New Roman" w:eastAsia="Times New Roman" w:hAnsi="Times New Roman" w:cs="Times New Roman"/>
                <w:b/>
                <w:bCs/>
                <w:color w:val="000000"/>
                <w:sz w:val="20"/>
                <w:szCs w:val="20"/>
                <w:lang w:eastAsia="cs-CZ"/>
              </w:rPr>
              <w:t>Muži</w:t>
            </w:r>
          </w:p>
        </w:tc>
        <w:tc>
          <w:tcPr>
            <w:tcW w:w="800" w:type="pct"/>
            <w:tcBorders>
              <w:top w:val="nil"/>
              <w:left w:val="single" w:sz="4" w:space="0" w:color="auto"/>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38</w:t>
            </w:r>
          </w:p>
        </w:tc>
        <w:tc>
          <w:tcPr>
            <w:tcW w:w="717"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126</w:t>
            </w:r>
          </w:p>
        </w:tc>
        <w:tc>
          <w:tcPr>
            <w:tcW w:w="721"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121</w:t>
            </w:r>
          </w:p>
        </w:tc>
        <w:tc>
          <w:tcPr>
            <w:tcW w:w="793"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53</w:t>
            </w:r>
          </w:p>
        </w:tc>
        <w:tc>
          <w:tcPr>
            <w:tcW w:w="715"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1</w:t>
            </w:r>
          </w:p>
        </w:tc>
        <w:tc>
          <w:tcPr>
            <w:tcW w:w="711"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339</w:t>
            </w:r>
          </w:p>
        </w:tc>
      </w:tr>
      <w:tr w:rsidR="00F158D7" w:rsidRPr="00A73114" w:rsidTr="001E4EF8">
        <w:trPr>
          <w:trHeight w:val="227"/>
        </w:trPr>
        <w:tc>
          <w:tcPr>
            <w:tcW w:w="543" w:type="pct"/>
            <w:tcBorders>
              <w:top w:val="nil"/>
              <w:left w:val="single" w:sz="4" w:space="0" w:color="auto"/>
              <w:bottom w:val="single" w:sz="4" w:space="0" w:color="auto"/>
              <w:right w:val="single" w:sz="4" w:space="0" w:color="auto"/>
            </w:tcBorders>
            <w:shd w:val="clear" w:color="auto" w:fill="auto"/>
            <w:noWrap/>
            <w:vAlign w:val="bottom"/>
            <w:hideMark/>
          </w:tcPr>
          <w:p w:rsidR="00F158D7" w:rsidRPr="00A73114" w:rsidRDefault="00F158D7" w:rsidP="001E4EF8">
            <w:pPr>
              <w:spacing w:after="0" w:line="240" w:lineRule="auto"/>
              <w:rPr>
                <w:rFonts w:ascii="Times New Roman" w:eastAsia="Times New Roman" w:hAnsi="Times New Roman" w:cs="Times New Roman"/>
                <w:b/>
                <w:bCs/>
                <w:color w:val="000000"/>
                <w:sz w:val="20"/>
                <w:szCs w:val="20"/>
                <w:lang w:eastAsia="cs-CZ"/>
              </w:rPr>
            </w:pPr>
            <w:r w:rsidRPr="00A73114">
              <w:rPr>
                <w:rFonts w:ascii="Times New Roman" w:eastAsia="Times New Roman" w:hAnsi="Times New Roman" w:cs="Times New Roman"/>
                <w:b/>
                <w:bCs/>
                <w:color w:val="000000"/>
                <w:sz w:val="20"/>
                <w:szCs w:val="20"/>
                <w:lang w:eastAsia="cs-CZ"/>
              </w:rPr>
              <w:t>Ženy</w:t>
            </w:r>
          </w:p>
        </w:tc>
        <w:tc>
          <w:tcPr>
            <w:tcW w:w="800" w:type="pct"/>
            <w:tcBorders>
              <w:top w:val="nil"/>
              <w:left w:val="single" w:sz="4" w:space="0" w:color="auto"/>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62</w:t>
            </w:r>
          </w:p>
        </w:tc>
        <w:tc>
          <w:tcPr>
            <w:tcW w:w="717"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110</w:t>
            </w:r>
          </w:p>
        </w:tc>
        <w:tc>
          <w:tcPr>
            <w:tcW w:w="721"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154</w:t>
            </w:r>
          </w:p>
        </w:tc>
        <w:tc>
          <w:tcPr>
            <w:tcW w:w="793"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38</w:t>
            </w:r>
          </w:p>
        </w:tc>
        <w:tc>
          <w:tcPr>
            <w:tcW w:w="715"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4</w:t>
            </w:r>
          </w:p>
        </w:tc>
        <w:tc>
          <w:tcPr>
            <w:tcW w:w="711"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368</w:t>
            </w:r>
          </w:p>
        </w:tc>
      </w:tr>
      <w:tr w:rsidR="00F158D7" w:rsidRPr="00A73114" w:rsidTr="001E4EF8">
        <w:trPr>
          <w:trHeight w:val="227"/>
        </w:trPr>
        <w:tc>
          <w:tcPr>
            <w:tcW w:w="543" w:type="pct"/>
            <w:tcBorders>
              <w:top w:val="nil"/>
              <w:left w:val="single" w:sz="4" w:space="0" w:color="auto"/>
              <w:bottom w:val="single" w:sz="4" w:space="0" w:color="auto"/>
              <w:right w:val="single" w:sz="4" w:space="0" w:color="auto"/>
            </w:tcBorders>
            <w:shd w:val="clear" w:color="auto" w:fill="auto"/>
            <w:noWrap/>
            <w:vAlign w:val="bottom"/>
            <w:hideMark/>
          </w:tcPr>
          <w:p w:rsidR="00F158D7" w:rsidRPr="00A73114" w:rsidRDefault="00F158D7" w:rsidP="001E4EF8">
            <w:pPr>
              <w:spacing w:after="0" w:line="240" w:lineRule="auto"/>
              <w:rPr>
                <w:rFonts w:ascii="Times New Roman" w:eastAsia="Times New Roman" w:hAnsi="Times New Roman" w:cs="Times New Roman"/>
                <w:b/>
                <w:bCs/>
                <w:color w:val="000000"/>
                <w:sz w:val="20"/>
                <w:szCs w:val="20"/>
                <w:lang w:eastAsia="cs-CZ"/>
              </w:rPr>
            </w:pPr>
            <w:proofErr w:type="gramStart"/>
            <w:r w:rsidRPr="00A73114">
              <w:rPr>
                <w:rFonts w:ascii="Times New Roman" w:eastAsia="Times New Roman" w:hAnsi="Times New Roman" w:cs="Times New Roman"/>
                <w:b/>
                <w:bCs/>
                <w:color w:val="000000"/>
                <w:sz w:val="20"/>
                <w:szCs w:val="20"/>
                <w:lang w:eastAsia="cs-CZ"/>
              </w:rPr>
              <w:t>Muži  v %</w:t>
            </w:r>
            <w:proofErr w:type="gramEnd"/>
          </w:p>
        </w:tc>
        <w:tc>
          <w:tcPr>
            <w:tcW w:w="800" w:type="pct"/>
            <w:tcBorders>
              <w:top w:val="nil"/>
              <w:left w:val="single" w:sz="4" w:space="0" w:color="auto"/>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11,2</w:t>
            </w:r>
          </w:p>
        </w:tc>
        <w:tc>
          <w:tcPr>
            <w:tcW w:w="717"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37,2</w:t>
            </w:r>
          </w:p>
        </w:tc>
        <w:tc>
          <w:tcPr>
            <w:tcW w:w="721"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35,7</w:t>
            </w:r>
          </w:p>
        </w:tc>
        <w:tc>
          <w:tcPr>
            <w:tcW w:w="793"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15,6</w:t>
            </w:r>
          </w:p>
        </w:tc>
        <w:tc>
          <w:tcPr>
            <w:tcW w:w="715"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0,3</w:t>
            </w:r>
          </w:p>
        </w:tc>
        <w:tc>
          <w:tcPr>
            <w:tcW w:w="711"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w:t>
            </w:r>
          </w:p>
        </w:tc>
      </w:tr>
      <w:tr w:rsidR="00F158D7" w:rsidRPr="00A73114" w:rsidTr="001E4EF8">
        <w:trPr>
          <w:trHeight w:val="227"/>
        </w:trPr>
        <w:tc>
          <w:tcPr>
            <w:tcW w:w="543" w:type="pct"/>
            <w:tcBorders>
              <w:top w:val="nil"/>
              <w:left w:val="single" w:sz="4" w:space="0" w:color="auto"/>
              <w:bottom w:val="single" w:sz="4" w:space="0" w:color="auto"/>
              <w:right w:val="single" w:sz="4" w:space="0" w:color="auto"/>
            </w:tcBorders>
            <w:shd w:val="clear" w:color="auto" w:fill="auto"/>
            <w:noWrap/>
            <w:vAlign w:val="bottom"/>
            <w:hideMark/>
          </w:tcPr>
          <w:p w:rsidR="00F158D7" w:rsidRPr="00A73114" w:rsidRDefault="00F158D7" w:rsidP="001E4EF8">
            <w:pPr>
              <w:spacing w:after="0" w:line="240" w:lineRule="auto"/>
              <w:rPr>
                <w:rFonts w:ascii="Times New Roman" w:eastAsia="Times New Roman" w:hAnsi="Times New Roman" w:cs="Times New Roman"/>
                <w:b/>
                <w:bCs/>
                <w:color w:val="000000"/>
                <w:sz w:val="20"/>
                <w:szCs w:val="20"/>
                <w:lang w:eastAsia="cs-CZ"/>
              </w:rPr>
            </w:pPr>
            <w:r w:rsidRPr="00A73114">
              <w:rPr>
                <w:rFonts w:ascii="Times New Roman" w:eastAsia="Times New Roman" w:hAnsi="Times New Roman" w:cs="Times New Roman"/>
                <w:b/>
                <w:bCs/>
                <w:color w:val="000000"/>
                <w:sz w:val="20"/>
                <w:szCs w:val="20"/>
                <w:lang w:eastAsia="cs-CZ"/>
              </w:rPr>
              <w:t>Ženy v %</w:t>
            </w:r>
          </w:p>
        </w:tc>
        <w:tc>
          <w:tcPr>
            <w:tcW w:w="800" w:type="pct"/>
            <w:tcBorders>
              <w:top w:val="nil"/>
              <w:left w:val="single" w:sz="4" w:space="0" w:color="auto"/>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16,8</w:t>
            </w:r>
          </w:p>
        </w:tc>
        <w:tc>
          <w:tcPr>
            <w:tcW w:w="717"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29,9</w:t>
            </w:r>
          </w:p>
        </w:tc>
        <w:tc>
          <w:tcPr>
            <w:tcW w:w="721"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41,8</w:t>
            </w:r>
          </w:p>
        </w:tc>
        <w:tc>
          <w:tcPr>
            <w:tcW w:w="793"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10,3</w:t>
            </w:r>
          </w:p>
        </w:tc>
        <w:tc>
          <w:tcPr>
            <w:tcW w:w="715"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sidRPr="00A73114">
              <w:rPr>
                <w:rFonts w:ascii="Times New Roman" w:eastAsia="Times New Roman" w:hAnsi="Times New Roman" w:cs="Times New Roman"/>
                <w:color w:val="000000"/>
                <w:sz w:val="20"/>
                <w:szCs w:val="20"/>
                <w:lang w:eastAsia="cs-CZ"/>
              </w:rPr>
              <w:t>1,1</w:t>
            </w:r>
          </w:p>
        </w:tc>
        <w:tc>
          <w:tcPr>
            <w:tcW w:w="711" w:type="pct"/>
            <w:tcBorders>
              <w:top w:val="nil"/>
              <w:left w:val="nil"/>
              <w:bottom w:val="single" w:sz="4" w:space="0" w:color="auto"/>
              <w:right w:val="single" w:sz="4" w:space="0" w:color="auto"/>
            </w:tcBorders>
            <w:shd w:val="clear" w:color="auto" w:fill="auto"/>
            <w:noWrap/>
            <w:vAlign w:val="center"/>
            <w:hideMark/>
          </w:tcPr>
          <w:p w:rsidR="00F158D7" w:rsidRPr="00A73114" w:rsidRDefault="00F158D7" w:rsidP="001E4EF8">
            <w:pPr>
              <w:spacing w:after="0" w:line="240" w:lineRule="auto"/>
              <w:jc w:val="center"/>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w:t>
            </w:r>
          </w:p>
        </w:tc>
      </w:tr>
    </w:tbl>
    <w:p w:rsidR="00F158D7" w:rsidRPr="00C92C1C" w:rsidRDefault="00F158D7" w:rsidP="00F158D7">
      <w:pPr>
        <w:spacing w:line="240" w:lineRule="auto"/>
        <w:rPr>
          <w:rFonts w:ascii="Times New Roman" w:hAnsi="Times New Roman" w:cs="Times New Roman"/>
          <w:sz w:val="18"/>
        </w:rPr>
      </w:pPr>
      <w:r w:rsidRPr="009201EF">
        <w:rPr>
          <w:rFonts w:ascii="Times New Roman" w:hAnsi="Times New Roman" w:cs="Times New Roman"/>
          <w:sz w:val="18"/>
        </w:rPr>
        <w:t xml:space="preserve">Zdroj: ČSÚ </w:t>
      </w:r>
      <w:r>
        <w:rPr>
          <w:rFonts w:ascii="Times New Roman" w:hAnsi="Times New Roman" w:cs="Times New Roman"/>
          <w:sz w:val="18"/>
        </w:rPr>
        <w:t>– SLDB 2011, vlastní zpracování</w:t>
      </w:r>
    </w:p>
    <w:p w:rsidR="00F158D7" w:rsidRPr="009201EF" w:rsidRDefault="00F158D7" w:rsidP="00F158D7">
      <w:pPr>
        <w:jc w:val="both"/>
        <w:rPr>
          <w:rFonts w:ascii="Times New Roman" w:hAnsi="Times New Roman" w:cs="Times New Roman"/>
        </w:rPr>
      </w:pPr>
      <w:r>
        <w:rPr>
          <w:rFonts w:ascii="Times New Roman" w:hAnsi="Times New Roman" w:cs="Times New Roman"/>
        </w:rPr>
        <w:t>Z hlediska srovnání mužů a žen v dokončeném stupni vzdělání, dosahují ženy srovnatelných hodnot bez zásadních rozdílů.</w:t>
      </w:r>
    </w:p>
    <w:p w:rsidR="00F158D7" w:rsidRPr="009201EF" w:rsidRDefault="00F158D7" w:rsidP="00F158D7">
      <w:pPr>
        <w:jc w:val="both"/>
        <w:rPr>
          <w:rFonts w:ascii="Times New Roman" w:hAnsi="Times New Roman" w:cs="Times New Roman"/>
        </w:rPr>
      </w:pPr>
      <w:r w:rsidRPr="009201EF">
        <w:rPr>
          <w:rFonts w:ascii="Times New Roman" w:hAnsi="Times New Roman" w:cs="Times New Roman"/>
        </w:rPr>
        <w:t>Vzdělano</w:t>
      </w:r>
      <w:r>
        <w:rPr>
          <w:rFonts w:ascii="Times New Roman" w:hAnsi="Times New Roman" w:cs="Times New Roman"/>
        </w:rPr>
        <w:t xml:space="preserve">stní struktura obce </w:t>
      </w:r>
      <w:r w:rsidRPr="009201EF">
        <w:rPr>
          <w:rFonts w:ascii="Times New Roman" w:hAnsi="Times New Roman" w:cs="Times New Roman"/>
        </w:rPr>
        <w:t xml:space="preserve">je zachycena v následujícím grafu, ze kterého lze vyčíst absolutní hodnoty reprezentující jednotlivé kategorie. </w:t>
      </w:r>
    </w:p>
    <w:p w:rsidR="00F158D7" w:rsidRPr="009201EF" w:rsidRDefault="00F158D7" w:rsidP="00F158D7">
      <w:pPr>
        <w:spacing w:after="0" w:line="240" w:lineRule="auto"/>
        <w:rPr>
          <w:rFonts w:ascii="Times New Roman" w:hAnsi="Times New Roman" w:cs="Times New Roman"/>
          <w:sz w:val="18"/>
        </w:rPr>
      </w:pPr>
      <w:r>
        <w:rPr>
          <w:rFonts w:ascii="Times New Roman" w:hAnsi="Times New Roman" w:cs="Times New Roman"/>
          <w:sz w:val="18"/>
        </w:rPr>
        <w:t>Graf:</w:t>
      </w:r>
      <w:r w:rsidRPr="009201EF">
        <w:rPr>
          <w:rFonts w:ascii="Times New Roman" w:hAnsi="Times New Roman" w:cs="Times New Roman"/>
          <w:sz w:val="18"/>
        </w:rPr>
        <w:t xml:space="preserve"> Vzdělano</w:t>
      </w:r>
      <w:r>
        <w:rPr>
          <w:rFonts w:ascii="Times New Roman" w:hAnsi="Times New Roman" w:cs="Times New Roman"/>
          <w:sz w:val="18"/>
        </w:rPr>
        <w:t xml:space="preserve">stní struktura obyvatel </w:t>
      </w:r>
      <w:r w:rsidRPr="009201EF">
        <w:rPr>
          <w:rFonts w:ascii="Times New Roman" w:hAnsi="Times New Roman" w:cs="Times New Roman"/>
          <w:sz w:val="18"/>
        </w:rPr>
        <w:t>v roce 2011, absolutní hodnoty</w:t>
      </w:r>
    </w:p>
    <w:p w:rsidR="00F158D7" w:rsidRPr="009201EF" w:rsidRDefault="00F158D7" w:rsidP="00F158D7">
      <w:pPr>
        <w:spacing w:after="0" w:line="240" w:lineRule="auto"/>
        <w:rPr>
          <w:rFonts w:ascii="Times New Roman" w:hAnsi="Times New Roman" w:cs="Times New Roman"/>
          <w:sz w:val="18"/>
        </w:rPr>
      </w:pPr>
      <w:r>
        <w:rPr>
          <w:noProof/>
          <w:lang w:eastAsia="cs-CZ"/>
        </w:rPr>
        <w:drawing>
          <wp:inline distT="0" distB="0" distL="0" distR="0" wp14:anchorId="7E65F315" wp14:editId="282B6E8E">
            <wp:extent cx="5724525" cy="2333625"/>
            <wp:effectExtent l="76200" t="57150" r="66675" b="85725"/>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158D7" w:rsidRPr="009201EF" w:rsidRDefault="00F158D7" w:rsidP="00F158D7">
      <w:pPr>
        <w:spacing w:line="240" w:lineRule="auto"/>
        <w:rPr>
          <w:rFonts w:ascii="Times New Roman" w:hAnsi="Times New Roman" w:cs="Times New Roman"/>
          <w:sz w:val="18"/>
        </w:rPr>
      </w:pPr>
      <w:r w:rsidRPr="009201EF">
        <w:rPr>
          <w:rFonts w:ascii="Times New Roman" w:hAnsi="Times New Roman" w:cs="Times New Roman"/>
          <w:sz w:val="18"/>
        </w:rPr>
        <w:t>Zdroj: ČSÚ – SLDB 2011, vlastní zpracování</w:t>
      </w:r>
    </w:p>
    <w:p w:rsidR="00F158D7" w:rsidRDefault="00F158D7" w:rsidP="00F158D7">
      <w:pPr>
        <w:rPr>
          <w:rFonts w:ascii="Times New Roman" w:hAnsi="Times New Roman" w:cs="Times New Roman"/>
        </w:rPr>
      </w:pPr>
      <w:r w:rsidRPr="009201EF">
        <w:rPr>
          <w:rFonts w:ascii="Times New Roman" w:hAnsi="Times New Roman" w:cs="Times New Roman"/>
        </w:rPr>
        <w:t>Dominantní je tedy vzdělání úpl</w:t>
      </w:r>
      <w:r>
        <w:rPr>
          <w:rFonts w:ascii="Times New Roman" w:hAnsi="Times New Roman" w:cs="Times New Roman"/>
        </w:rPr>
        <w:t>né střední, následuje střední bez maturity.</w:t>
      </w:r>
      <w:r w:rsidRPr="009201EF">
        <w:rPr>
          <w:rFonts w:ascii="Times New Roman" w:hAnsi="Times New Roman" w:cs="Times New Roman"/>
        </w:rPr>
        <w:t xml:space="preserve"> </w:t>
      </w:r>
    </w:p>
    <w:p w:rsidR="00F158D7" w:rsidRPr="00CC17C7" w:rsidRDefault="00F158D7" w:rsidP="00F158D7">
      <w:pPr>
        <w:rPr>
          <w:rFonts w:ascii="Times New Roman" w:hAnsi="Times New Roman" w:cs="Times New Roman"/>
        </w:rPr>
      </w:pPr>
    </w:p>
    <w:p w:rsidR="00F158D7" w:rsidRPr="009201EF" w:rsidRDefault="00F158D7" w:rsidP="00F158D7">
      <w:pPr>
        <w:pStyle w:val="Nadpis4"/>
      </w:pPr>
      <w:bookmarkStart w:id="4" w:name="_Toc420948852"/>
      <w:r w:rsidRPr="009201EF">
        <w:lastRenderedPageBreak/>
        <w:t>Dílčí SWOT analýza</w:t>
      </w:r>
      <w:bookmarkEnd w:id="4"/>
    </w:p>
    <w:p w:rsidR="00F158D7" w:rsidRPr="00E60A4D" w:rsidRDefault="00F158D7" w:rsidP="00F158D7">
      <w:pPr>
        <w:spacing w:after="0" w:line="240" w:lineRule="auto"/>
        <w:rPr>
          <w:rFonts w:ascii="Times New Roman" w:hAnsi="Times New Roman" w:cs="Times New Roman"/>
          <w:color w:val="17365D" w:themeColor="text2" w:themeShade="BF"/>
        </w:rPr>
      </w:pPr>
      <w:r w:rsidRPr="00E60A4D">
        <w:rPr>
          <w:rFonts w:ascii="Times New Roman" w:hAnsi="Times New Roman" w:cs="Times New Roman"/>
          <w:color w:val="17365D" w:themeColor="text2" w:themeShade="BF"/>
        </w:rPr>
        <w:t>Silné stránky</w:t>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t xml:space="preserve">              Slabé stránky</w:t>
      </w:r>
    </w:p>
    <w:tbl>
      <w:tblPr>
        <w:tblW w:w="0" w:type="auto"/>
        <w:tbl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insideH w:val="single" w:sz="12" w:space="0" w:color="17365D" w:themeColor="text2" w:themeShade="BF"/>
          <w:insideV w:val="single" w:sz="12" w:space="0" w:color="17365D" w:themeColor="text2" w:themeShade="BF"/>
        </w:tblBorders>
        <w:tblLook w:val="04A0" w:firstRow="1" w:lastRow="0" w:firstColumn="1" w:lastColumn="0" w:noHBand="0" w:noVBand="1"/>
      </w:tblPr>
      <w:tblGrid>
        <w:gridCol w:w="4518"/>
        <w:gridCol w:w="4524"/>
      </w:tblGrid>
      <w:tr w:rsidR="00F158D7" w:rsidRPr="009201EF" w:rsidTr="001E4EF8">
        <w:tc>
          <w:tcPr>
            <w:tcW w:w="4606" w:type="dxa"/>
            <w:shd w:val="clear" w:color="auto" w:fill="auto"/>
          </w:tcPr>
          <w:p w:rsidR="00F158D7" w:rsidRPr="00B05BFF" w:rsidRDefault="00F158D7" w:rsidP="001E4EF8">
            <w:pPr>
              <w:numPr>
                <w:ilvl w:val="0"/>
                <w:numId w:val="5"/>
              </w:numPr>
              <w:contextualSpacing/>
              <w:rPr>
                <w:rFonts w:ascii="Times New Roman" w:hAnsi="Times New Roman" w:cs="Times New Roman"/>
                <w:color w:val="17365D" w:themeColor="text2" w:themeShade="BF"/>
              </w:rPr>
            </w:pPr>
            <w:r w:rsidRPr="00B05BFF">
              <w:rPr>
                <w:rFonts w:ascii="Times New Roman" w:hAnsi="Times New Roman" w:cs="Times New Roman"/>
                <w:color w:val="17365D" w:themeColor="text2" w:themeShade="BF"/>
              </w:rPr>
              <w:t>dlouhodobě stabilní počet narozených dětí</w:t>
            </w:r>
          </w:p>
          <w:p w:rsidR="00F158D7" w:rsidRDefault="00F158D7" w:rsidP="001E4EF8">
            <w:pPr>
              <w:numPr>
                <w:ilvl w:val="0"/>
                <w:numId w:val="5"/>
              </w:numPr>
              <w:contextualSpacing/>
              <w:rPr>
                <w:rFonts w:ascii="Times New Roman" w:hAnsi="Times New Roman" w:cs="Times New Roman"/>
                <w:color w:val="17365D" w:themeColor="text2" w:themeShade="BF"/>
              </w:rPr>
            </w:pPr>
            <w:r>
              <w:rPr>
                <w:rFonts w:ascii="Times New Roman" w:hAnsi="Times New Roman" w:cs="Times New Roman"/>
                <w:color w:val="17365D" w:themeColor="text2" w:themeShade="BF"/>
              </w:rPr>
              <w:t>dlouhodobě stabilní vývoj přirozeného přírůstku (nulová hranice)</w:t>
            </w:r>
          </w:p>
          <w:p w:rsidR="00F158D7" w:rsidRDefault="00F158D7" w:rsidP="001E4EF8">
            <w:pPr>
              <w:numPr>
                <w:ilvl w:val="0"/>
                <w:numId w:val="5"/>
              </w:numPr>
              <w:contextualSpacing/>
              <w:rPr>
                <w:rFonts w:ascii="Times New Roman" w:hAnsi="Times New Roman" w:cs="Times New Roman"/>
                <w:color w:val="17365D" w:themeColor="text2" w:themeShade="BF"/>
              </w:rPr>
            </w:pPr>
            <w:r>
              <w:rPr>
                <w:rFonts w:ascii="Times New Roman" w:hAnsi="Times New Roman" w:cs="Times New Roman"/>
                <w:color w:val="17365D" w:themeColor="text2" w:themeShade="BF"/>
              </w:rPr>
              <w:t>nadprůměrná vzdělanostní struktura obyvatelstva (dle dosaženého vzdělání) ve srovnání s SO ORP Železný Brod</w:t>
            </w:r>
          </w:p>
          <w:p w:rsidR="00F158D7" w:rsidRPr="00B05BFF" w:rsidRDefault="00F158D7" w:rsidP="001E4EF8">
            <w:pPr>
              <w:numPr>
                <w:ilvl w:val="0"/>
                <w:numId w:val="5"/>
              </w:numPr>
              <w:contextualSpacing/>
              <w:rPr>
                <w:rFonts w:ascii="Times New Roman" w:hAnsi="Times New Roman" w:cs="Times New Roman"/>
                <w:color w:val="17365D" w:themeColor="text2" w:themeShade="BF"/>
              </w:rPr>
            </w:pPr>
            <w:r>
              <w:rPr>
                <w:rFonts w:ascii="Times New Roman" w:hAnsi="Times New Roman" w:cs="Times New Roman"/>
                <w:color w:val="17365D" w:themeColor="text2" w:themeShade="BF"/>
              </w:rPr>
              <w:t>pozitivní vývoj podílu obyvatel do 14 let věku</w:t>
            </w:r>
          </w:p>
          <w:p w:rsidR="00F158D7" w:rsidRPr="00B05BFF" w:rsidRDefault="00F158D7" w:rsidP="001E4EF8">
            <w:pPr>
              <w:contextualSpacing/>
              <w:rPr>
                <w:rFonts w:ascii="Times New Roman" w:hAnsi="Times New Roman" w:cs="Times New Roman"/>
                <w:color w:val="17365D" w:themeColor="text2" w:themeShade="BF"/>
              </w:rPr>
            </w:pPr>
          </w:p>
        </w:tc>
        <w:tc>
          <w:tcPr>
            <w:tcW w:w="4606" w:type="dxa"/>
            <w:shd w:val="clear" w:color="auto" w:fill="auto"/>
          </w:tcPr>
          <w:p w:rsidR="00F158D7" w:rsidRPr="00B05BFF" w:rsidRDefault="00F158D7" w:rsidP="001E4EF8">
            <w:pPr>
              <w:numPr>
                <w:ilvl w:val="0"/>
                <w:numId w:val="5"/>
              </w:numPr>
              <w:contextualSpacing/>
              <w:rPr>
                <w:rFonts w:ascii="Times New Roman" w:hAnsi="Times New Roman" w:cs="Times New Roman"/>
                <w:color w:val="17365D" w:themeColor="text2" w:themeShade="BF"/>
              </w:rPr>
            </w:pPr>
            <w:r w:rsidRPr="00B05BFF">
              <w:rPr>
                <w:rFonts w:ascii="Times New Roman" w:hAnsi="Times New Roman" w:cs="Times New Roman"/>
                <w:color w:val="17365D" w:themeColor="text2" w:themeShade="BF"/>
              </w:rPr>
              <w:t>klesající vývoj počtu obyvatel</w:t>
            </w:r>
            <w:r>
              <w:rPr>
                <w:rFonts w:ascii="Times New Roman" w:hAnsi="Times New Roman" w:cs="Times New Roman"/>
                <w:color w:val="17365D" w:themeColor="text2" w:themeShade="BF"/>
              </w:rPr>
              <w:t xml:space="preserve"> od roku 2014</w:t>
            </w:r>
          </w:p>
          <w:p w:rsidR="00F158D7" w:rsidRDefault="00F158D7" w:rsidP="001E4EF8">
            <w:pPr>
              <w:numPr>
                <w:ilvl w:val="0"/>
                <w:numId w:val="5"/>
              </w:numPr>
              <w:contextualSpacing/>
              <w:rPr>
                <w:rFonts w:ascii="Times New Roman" w:hAnsi="Times New Roman" w:cs="Times New Roman"/>
                <w:color w:val="17365D" w:themeColor="text2" w:themeShade="BF"/>
              </w:rPr>
            </w:pPr>
            <w:r w:rsidRPr="00B05BFF">
              <w:rPr>
                <w:rFonts w:ascii="Times New Roman" w:hAnsi="Times New Roman" w:cs="Times New Roman"/>
                <w:color w:val="17365D" w:themeColor="text2" w:themeShade="BF"/>
              </w:rPr>
              <w:t>stárnutí obyvatelstva</w:t>
            </w:r>
          </w:p>
          <w:p w:rsidR="00F158D7" w:rsidRPr="007914F5" w:rsidRDefault="00F158D7" w:rsidP="001E4EF8">
            <w:pPr>
              <w:numPr>
                <w:ilvl w:val="0"/>
                <w:numId w:val="5"/>
              </w:numPr>
              <w:contextualSpacing/>
              <w:rPr>
                <w:rFonts w:ascii="Times New Roman" w:hAnsi="Times New Roman" w:cs="Times New Roman"/>
                <w:color w:val="17365D" w:themeColor="text2" w:themeShade="BF"/>
              </w:rPr>
            </w:pPr>
            <w:r>
              <w:rPr>
                <w:rFonts w:ascii="Times New Roman" w:hAnsi="Times New Roman" w:cs="Times New Roman"/>
                <w:color w:val="17365D" w:themeColor="text2" w:themeShade="BF"/>
              </w:rPr>
              <w:t>skokový nárůst podílu obyvatel starších 65 let od roku 2011</w:t>
            </w:r>
          </w:p>
        </w:tc>
      </w:tr>
      <w:tr w:rsidR="00F158D7" w:rsidRPr="009201EF" w:rsidTr="001E4EF8">
        <w:tc>
          <w:tcPr>
            <w:tcW w:w="4606" w:type="dxa"/>
            <w:shd w:val="clear" w:color="auto" w:fill="auto"/>
          </w:tcPr>
          <w:p w:rsidR="00F158D7" w:rsidRDefault="00F158D7" w:rsidP="001E4EF8">
            <w:pPr>
              <w:numPr>
                <w:ilvl w:val="0"/>
                <w:numId w:val="5"/>
              </w:numPr>
              <w:contextualSpacing/>
              <w:rPr>
                <w:rFonts w:ascii="Times New Roman" w:hAnsi="Times New Roman" w:cs="Times New Roman"/>
                <w:color w:val="17365D" w:themeColor="text2" w:themeShade="BF"/>
              </w:rPr>
            </w:pPr>
            <w:r w:rsidRPr="00B05BFF">
              <w:rPr>
                <w:rFonts w:ascii="Times New Roman" w:hAnsi="Times New Roman" w:cs="Times New Roman"/>
                <w:color w:val="17365D" w:themeColor="text2" w:themeShade="BF"/>
              </w:rPr>
              <w:t>s</w:t>
            </w:r>
            <w:r>
              <w:rPr>
                <w:rFonts w:ascii="Times New Roman" w:hAnsi="Times New Roman" w:cs="Times New Roman"/>
                <w:color w:val="17365D" w:themeColor="text2" w:themeShade="BF"/>
              </w:rPr>
              <w:t>tabilizace počtu obyvatel (stěhování)</w:t>
            </w:r>
          </w:p>
          <w:p w:rsidR="00F158D7" w:rsidRPr="00B05BFF" w:rsidRDefault="00F158D7" w:rsidP="001E4EF8">
            <w:pPr>
              <w:contextualSpacing/>
              <w:rPr>
                <w:rFonts w:ascii="Times New Roman" w:hAnsi="Times New Roman" w:cs="Times New Roman"/>
                <w:color w:val="17365D" w:themeColor="text2" w:themeShade="BF"/>
              </w:rPr>
            </w:pPr>
          </w:p>
        </w:tc>
        <w:tc>
          <w:tcPr>
            <w:tcW w:w="4606" w:type="dxa"/>
            <w:shd w:val="clear" w:color="auto" w:fill="auto"/>
          </w:tcPr>
          <w:p w:rsidR="00F158D7" w:rsidRPr="00B05BFF" w:rsidRDefault="00F158D7" w:rsidP="001E4EF8">
            <w:pPr>
              <w:numPr>
                <w:ilvl w:val="0"/>
                <w:numId w:val="5"/>
              </w:numPr>
              <w:contextualSpacing/>
              <w:rPr>
                <w:rFonts w:ascii="Times New Roman" w:hAnsi="Times New Roman" w:cs="Times New Roman"/>
                <w:color w:val="17365D" w:themeColor="text2" w:themeShade="BF"/>
              </w:rPr>
            </w:pPr>
            <w:r w:rsidRPr="00B05BFF">
              <w:rPr>
                <w:rFonts w:ascii="Times New Roman" w:hAnsi="Times New Roman" w:cs="Times New Roman"/>
                <w:color w:val="17365D" w:themeColor="text2" w:themeShade="BF"/>
              </w:rPr>
              <w:t>nepřízn</w:t>
            </w:r>
            <w:r>
              <w:rPr>
                <w:rFonts w:ascii="Times New Roman" w:hAnsi="Times New Roman" w:cs="Times New Roman"/>
                <w:color w:val="17365D" w:themeColor="text2" w:themeShade="BF"/>
              </w:rPr>
              <w:t>ivý demografický vývoj stárnutím</w:t>
            </w:r>
            <w:r w:rsidRPr="00B05BFF">
              <w:rPr>
                <w:rFonts w:ascii="Times New Roman" w:hAnsi="Times New Roman" w:cs="Times New Roman"/>
                <w:color w:val="17365D" w:themeColor="text2" w:themeShade="BF"/>
              </w:rPr>
              <w:t xml:space="preserve"> obyvatelstva</w:t>
            </w:r>
          </w:p>
          <w:p w:rsidR="00F158D7" w:rsidRPr="00B05BFF" w:rsidRDefault="00F158D7" w:rsidP="001E4EF8">
            <w:pPr>
              <w:numPr>
                <w:ilvl w:val="0"/>
                <w:numId w:val="5"/>
              </w:numPr>
              <w:contextualSpacing/>
              <w:rPr>
                <w:rFonts w:ascii="Times New Roman" w:hAnsi="Times New Roman" w:cs="Times New Roman"/>
                <w:color w:val="17365D" w:themeColor="text2" w:themeShade="BF"/>
              </w:rPr>
            </w:pPr>
            <w:r w:rsidRPr="00B05BFF">
              <w:rPr>
                <w:rFonts w:ascii="Times New Roman" w:hAnsi="Times New Roman" w:cs="Times New Roman"/>
                <w:color w:val="17365D" w:themeColor="text2" w:themeShade="BF"/>
              </w:rPr>
              <w:t>n</w:t>
            </w:r>
            <w:r>
              <w:rPr>
                <w:rFonts w:ascii="Times New Roman" w:hAnsi="Times New Roman" w:cs="Times New Roman"/>
                <w:color w:val="17365D" w:themeColor="text2" w:themeShade="BF"/>
              </w:rPr>
              <w:t>epřipravenost obce</w:t>
            </w:r>
            <w:r w:rsidRPr="00B05BFF">
              <w:rPr>
                <w:rFonts w:ascii="Times New Roman" w:hAnsi="Times New Roman" w:cs="Times New Roman"/>
                <w:color w:val="17365D" w:themeColor="text2" w:themeShade="BF"/>
              </w:rPr>
              <w:t xml:space="preserve"> na nárůst obyvatelstva ve věkových skupinách nad 75 let</w:t>
            </w:r>
          </w:p>
        </w:tc>
      </w:tr>
    </w:tbl>
    <w:p w:rsidR="00F158D7" w:rsidRPr="005D2FAA" w:rsidRDefault="00F158D7" w:rsidP="005D2FAA">
      <w:pPr>
        <w:spacing w:after="0" w:line="240" w:lineRule="auto"/>
        <w:rPr>
          <w:rFonts w:ascii="Times New Roman" w:hAnsi="Times New Roman" w:cs="Times New Roman"/>
          <w:color w:val="17365D" w:themeColor="text2" w:themeShade="BF"/>
        </w:rPr>
      </w:pPr>
      <w:r w:rsidRPr="00E60A4D">
        <w:rPr>
          <w:rFonts w:ascii="Times New Roman" w:hAnsi="Times New Roman" w:cs="Times New Roman"/>
          <w:color w:val="17365D" w:themeColor="text2" w:themeShade="BF"/>
        </w:rPr>
        <w:t>Příležitosti</w:t>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t xml:space="preserve">                     Ohrožení</w:t>
      </w:r>
      <w:bookmarkStart w:id="5" w:name="_GoBack"/>
      <w:bookmarkEnd w:id="3"/>
      <w:bookmarkEnd w:id="5"/>
    </w:p>
    <w:sectPr w:rsidR="00F158D7" w:rsidRPr="005D2FAA" w:rsidSect="00E60A4D">
      <w:headerReference w:type="default" r:id="rId13"/>
      <w:footerReference w:type="default" r:id="rId14"/>
      <w:headerReference w:type="first" r:id="rId15"/>
      <w:pgSz w:w="11906" w:h="16838"/>
      <w:pgMar w:top="1417" w:right="1417" w:bottom="1417" w:left="1417" w:header="708" w:footer="708" w:gutter="0"/>
      <w:pgBorders w:offsetFrom="page">
        <w:top w:val="single" w:sz="4" w:space="24" w:color="17365D" w:themeColor="text2" w:themeShade="BF"/>
        <w:left w:val="single" w:sz="4" w:space="24" w:color="17365D" w:themeColor="text2" w:themeShade="BF"/>
        <w:bottom w:val="single" w:sz="4" w:space="24" w:color="17365D" w:themeColor="text2" w:themeShade="BF"/>
        <w:right w:val="single" w:sz="4" w:space="24" w:color="17365D" w:themeColor="text2" w:themeShade="BF"/>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125" w:rsidRDefault="00244125" w:rsidP="00420A84">
      <w:pPr>
        <w:spacing w:after="0" w:line="240" w:lineRule="auto"/>
      </w:pPr>
      <w:r>
        <w:separator/>
      </w:r>
    </w:p>
  </w:endnote>
  <w:endnote w:type="continuationSeparator" w:id="0">
    <w:p w:rsidR="00244125" w:rsidRDefault="00244125" w:rsidP="00420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7030585"/>
      <w:docPartObj>
        <w:docPartGallery w:val="Page Numbers (Bottom of Page)"/>
        <w:docPartUnique/>
      </w:docPartObj>
    </w:sdtPr>
    <w:sdtEndPr/>
    <w:sdtContent>
      <w:p w:rsidR="008F3773" w:rsidRDefault="008F3773">
        <w:pPr>
          <w:pStyle w:val="Zpat"/>
          <w:jc w:val="right"/>
        </w:pPr>
        <w:r>
          <w:rPr>
            <w:noProof/>
          </w:rPr>
          <w:fldChar w:fldCharType="begin"/>
        </w:r>
        <w:r>
          <w:rPr>
            <w:noProof/>
          </w:rPr>
          <w:instrText>PAGE   \* MERGEFORMAT</w:instrText>
        </w:r>
        <w:r>
          <w:rPr>
            <w:noProof/>
          </w:rPr>
          <w:fldChar w:fldCharType="separate"/>
        </w:r>
        <w:r w:rsidR="005D2FAA">
          <w:rPr>
            <w:noProof/>
          </w:rPr>
          <w:t>6</w:t>
        </w:r>
        <w:r>
          <w:rPr>
            <w:noProof/>
          </w:rPr>
          <w:fldChar w:fldCharType="end"/>
        </w:r>
      </w:p>
    </w:sdtContent>
  </w:sdt>
  <w:p w:rsidR="008F3773" w:rsidRDefault="008F377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125" w:rsidRDefault="00244125" w:rsidP="00420A84">
      <w:pPr>
        <w:spacing w:after="0" w:line="240" w:lineRule="auto"/>
      </w:pPr>
      <w:r>
        <w:separator/>
      </w:r>
    </w:p>
  </w:footnote>
  <w:footnote w:type="continuationSeparator" w:id="0">
    <w:p w:rsidR="00244125" w:rsidRDefault="00244125" w:rsidP="00420A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773" w:rsidRPr="00D9470F" w:rsidRDefault="008F3773" w:rsidP="00EC40F1">
    <w:pPr>
      <w:pStyle w:val="Zhlav"/>
      <w:rPr>
        <w:rFonts w:ascii="Times New Roman" w:hAnsi="Times New Roman" w:cs="Times New Roman"/>
        <w:sz w:val="24"/>
        <w:szCs w:val="24"/>
      </w:rPr>
    </w:pPr>
    <w:r>
      <w:rPr>
        <w:noProof/>
        <w:lang w:eastAsia="cs-CZ"/>
      </w:rPr>
      <w:drawing>
        <wp:anchor distT="0" distB="0" distL="114300" distR="114300" simplePos="0" relativeHeight="251659264" behindDoc="0" locked="0" layoutInCell="1" allowOverlap="1" wp14:anchorId="6E9369D7" wp14:editId="2850616E">
          <wp:simplePos x="0" y="0"/>
          <wp:positionH relativeFrom="column">
            <wp:posOffset>4100830</wp:posOffset>
          </wp:positionH>
          <wp:positionV relativeFrom="paragraph">
            <wp:posOffset>-68580</wp:posOffset>
          </wp:positionV>
          <wp:extent cx="2105025" cy="436245"/>
          <wp:effectExtent l="0" t="0" r="0" b="0"/>
          <wp:wrapSquare wrapText="bothSides"/>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OPZ barevn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5025" cy="436245"/>
                  </a:xfrm>
                  <a:prstGeom prst="rect">
                    <a:avLst/>
                  </a:prstGeom>
                </pic:spPr>
              </pic:pic>
            </a:graphicData>
          </a:graphic>
          <wp14:sizeRelH relativeFrom="page">
            <wp14:pctWidth>0</wp14:pctWidth>
          </wp14:sizeRelH>
          <wp14:sizeRelV relativeFrom="page">
            <wp14:pctHeight>0</wp14:pctHeight>
          </wp14:sizeRelV>
        </wp:anchor>
      </w:drawing>
    </w:r>
    <w:r w:rsidRPr="00D9470F">
      <w:rPr>
        <w:rFonts w:ascii="Times New Roman" w:hAnsi="Times New Roman" w:cs="Times New Roman"/>
        <w:sz w:val="24"/>
        <w:szCs w:val="24"/>
      </w:rPr>
      <w:t xml:space="preserve">Plánování regionálního rozvoje v Mikroregionu </w:t>
    </w:r>
    <w:proofErr w:type="spellStart"/>
    <w:r w:rsidRPr="00D9470F">
      <w:rPr>
        <w:rFonts w:ascii="Times New Roman" w:hAnsi="Times New Roman" w:cs="Times New Roman"/>
        <w:sz w:val="24"/>
        <w:szCs w:val="24"/>
      </w:rPr>
      <w:t>Tanvaldsko</w:t>
    </w:r>
    <w:proofErr w:type="spellEnd"/>
  </w:p>
  <w:p w:rsidR="008F3773" w:rsidRDefault="008F3773">
    <w:pPr>
      <w:pStyle w:val="Zhlav"/>
    </w:pPr>
    <w:r w:rsidRPr="00D9470F">
      <w:rPr>
        <w:rFonts w:ascii="Times New Roman" w:hAnsi="Times New Roman" w:cs="Times New Roman"/>
        <w:sz w:val="24"/>
        <w:szCs w:val="24"/>
      </w:rPr>
      <w:t>CZ.03.4.74/0.0/0.0/16_058/0007376</w:t>
    </w:r>
    <w:r>
      <w:ptab w:relativeTo="margin" w:alignment="center" w:leader="none"/>
    </w:r>
    <w: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773" w:rsidRPr="00D9470F" w:rsidRDefault="008F3773" w:rsidP="00EC40F1">
    <w:pPr>
      <w:pStyle w:val="Zhlav"/>
      <w:rPr>
        <w:rFonts w:ascii="Times New Roman" w:hAnsi="Times New Roman" w:cs="Times New Roman"/>
        <w:sz w:val="24"/>
        <w:szCs w:val="24"/>
      </w:rPr>
    </w:pPr>
    <w:r>
      <w:rPr>
        <w:noProof/>
        <w:lang w:eastAsia="cs-CZ"/>
      </w:rPr>
      <w:drawing>
        <wp:anchor distT="0" distB="0" distL="114300" distR="114300" simplePos="0" relativeHeight="251656192" behindDoc="0" locked="0" layoutInCell="1" allowOverlap="1" wp14:anchorId="6E9369D7" wp14:editId="2850616E">
          <wp:simplePos x="0" y="0"/>
          <wp:positionH relativeFrom="column">
            <wp:posOffset>4100830</wp:posOffset>
          </wp:positionH>
          <wp:positionV relativeFrom="paragraph">
            <wp:posOffset>-68580</wp:posOffset>
          </wp:positionV>
          <wp:extent cx="2105025" cy="436245"/>
          <wp:effectExtent l="0" t="0" r="0" b="0"/>
          <wp:wrapSquare wrapText="bothSides"/>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OPZ barevn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5025" cy="436245"/>
                  </a:xfrm>
                  <a:prstGeom prst="rect">
                    <a:avLst/>
                  </a:prstGeom>
                </pic:spPr>
              </pic:pic>
            </a:graphicData>
          </a:graphic>
          <wp14:sizeRelH relativeFrom="page">
            <wp14:pctWidth>0</wp14:pctWidth>
          </wp14:sizeRelH>
          <wp14:sizeRelV relativeFrom="page">
            <wp14:pctHeight>0</wp14:pctHeight>
          </wp14:sizeRelV>
        </wp:anchor>
      </w:drawing>
    </w:r>
    <w:r w:rsidRPr="00D9470F">
      <w:rPr>
        <w:rFonts w:ascii="Times New Roman" w:hAnsi="Times New Roman" w:cs="Times New Roman"/>
        <w:sz w:val="24"/>
        <w:szCs w:val="24"/>
      </w:rPr>
      <w:t xml:space="preserve">Plánování regionálního rozvoje v Mikroregionu </w:t>
    </w:r>
    <w:proofErr w:type="spellStart"/>
    <w:r w:rsidRPr="00D9470F">
      <w:rPr>
        <w:rFonts w:ascii="Times New Roman" w:hAnsi="Times New Roman" w:cs="Times New Roman"/>
        <w:sz w:val="24"/>
        <w:szCs w:val="24"/>
      </w:rPr>
      <w:t>Tanvaldsko</w:t>
    </w:r>
    <w:proofErr w:type="spellEnd"/>
  </w:p>
  <w:p w:rsidR="008F3773" w:rsidRDefault="008F3773">
    <w:pPr>
      <w:pStyle w:val="Zhlav"/>
    </w:pPr>
    <w:r w:rsidRPr="00D9470F">
      <w:rPr>
        <w:rFonts w:ascii="Times New Roman" w:hAnsi="Times New Roman" w:cs="Times New Roman"/>
        <w:sz w:val="24"/>
        <w:szCs w:val="24"/>
      </w:rPr>
      <w:t>CZ.03.4.74/0.0/0.0/16_058/0007376</w:t>
    </w: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A6527"/>
    <w:multiLevelType w:val="hybridMultilevel"/>
    <w:tmpl w:val="98CC7360"/>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9637CC"/>
    <w:multiLevelType w:val="hybridMultilevel"/>
    <w:tmpl w:val="AA5E50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41A0BB1"/>
    <w:multiLevelType w:val="hybridMultilevel"/>
    <w:tmpl w:val="22FA58D6"/>
    <w:lvl w:ilvl="0" w:tplc="51A232D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D90575"/>
    <w:multiLevelType w:val="hybridMultilevel"/>
    <w:tmpl w:val="1DAC98D0"/>
    <w:lvl w:ilvl="0" w:tplc="A306BA80">
      <w:start w:val="1"/>
      <w:numFmt w:val="bullet"/>
      <w:lvlText w:val=""/>
      <w:lvlJc w:val="left"/>
      <w:pPr>
        <w:ind w:left="780" w:hanging="360"/>
      </w:pPr>
      <w:rPr>
        <w:rFonts w:ascii="Symbol" w:hAnsi="Symbol" w:hint="default"/>
        <w:color w:val="17365D" w:themeColor="text2" w:themeShade="BF"/>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4" w15:restartNumberingAfterBreak="0">
    <w:nsid w:val="162530CB"/>
    <w:multiLevelType w:val="hybridMultilevel"/>
    <w:tmpl w:val="350C978E"/>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9726ACB"/>
    <w:multiLevelType w:val="hybridMultilevel"/>
    <w:tmpl w:val="960E11FC"/>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BA0039A"/>
    <w:multiLevelType w:val="hybridMultilevel"/>
    <w:tmpl w:val="C15C7EB6"/>
    <w:lvl w:ilvl="0" w:tplc="A306BA80">
      <w:start w:val="1"/>
      <w:numFmt w:val="bullet"/>
      <w:lvlText w:val=""/>
      <w:lvlJc w:val="left"/>
      <w:pPr>
        <w:ind w:left="1440" w:hanging="360"/>
      </w:pPr>
      <w:rPr>
        <w:rFonts w:ascii="Symbol" w:hAnsi="Symbol" w:hint="default"/>
        <w:color w:val="17365D" w:themeColor="text2" w:themeShade="BF"/>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1C6B7D08"/>
    <w:multiLevelType w:val="hybridMultilevel"/>
    <w:tmpl w:val="F288E7F6"/>
    <w:lvl w:ilvl="0" w:tplc="A306BA80">
      <w:start w:val="1"/>
      <w:numFmt w:val="bullet"/>
      <w:lvlText w:val=""/>
      <w:lvlJc w:val="left"/>
      <w:pPr>
        <w:ind w:left="780" w:hanging="360"/>
      </w:pPr>
      <w:rPr>
        <w:rFonts w:ascii="Symbol" w:hAnsi="Symbol" w:hint="default"/>
        <w:color w:val="17365D" w:themeColor="text2" w:themeShade="BF"/>
      </w:rPr>
    </w:lvl>
    <w:lvl w:ilvl="1" w:tplc="04050003">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8" w15:restartNumberingAfterBreak="0">
    <w:nsid w:val="1E06719E"/>
    <w:multiLevelType w:val="hybridMultilevel"/>
    <w:tmpl w:val="0CFEDA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5125FC3"/>
    <w:multiLevelType w:val="hybridMultilevel"/>
    <w:tmpl w:val="7E006746"/>
    <w:lvl w:ilvl="0" w:tplc="FEEC4F5A">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54F7FB2"/>
    <w:multiLevelType w:val="hybridMultilevel"/>
    <w:tmpl w:val="6CC8D100"/>
    <w:lvl w:ilvl="0" w:tplc="A306BA80">
      <w:start w:val="1"/>
      <w:numFmt w:val="bullet"/>
      <w:lvlText w:val=""/>
      <w:lvlJc w:val="left"/>
      <w:pPr>
        <w:ind w:left="1440" w:hanging="360"/>
      </w:pPr>
      <w:rPr>
        <w:rFonts w:ascii="Symbol" w:hAnsi="Symbol" w:hint="default"/>
        <w:color w:val="17365D" w:themeColor="text2" w:themeShade="BF"/>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15:restartNumberingAfterBreak="0">
    <w:nsid w:val="26B77E55"/>
    <w:multiLevelType w:val="hybridMultilevel"/>
    <w:tmpl w:val="CC4619CC"/>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7412CE9"/>
    <w:multiLevelType w:val="hybridMultilevel"/>
    <w:tmpl w:val="6310E38A"/>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9585E66"/>
    <w:multiLevelType w:val="hybridMultilevel"/>
    <w:tmpl w:val="64766DEA"/>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E9E177A"/>
    <w:multiLevelType w:val="hybridMultilevel"/>
    <w:tmpl w:val="9B360450"/>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FD360D3"/>
    <w:multiLevelType w:val="hybridMultilevel"/>
    <w:tmpl w:val="91584E5A"/>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44F012B"/>
    <w:multiLevelType w:val="hybridMultilevel"/>
    <w:tmpl w:val="0FC43D4A"/>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56B15A4"/>
    <w:multiLevelType w:val="hybridMultilevel"/>
    <w:tmpl w:val="E3F26090"/>
    <w:lvl w:ilvl="0" w:tplc="A306BA80">
      <w:start w:val="1"/>
      <w:numFmt w:val="bullet"/>
      <w:lvlText w:val=""/>
      <w:lvlJc w:val="left"/>
      <w:pPr>
        <w:ind w:left="1080" w:hanging="360"/>
      </w:pPr>
      <w:rPr>
        <w:rFonts w:ascii="Symbol" w:hAnsi="Symbol" w:hint="default"/>
        <w:color w:val="17365D" w:themeColor="text2" w:themeShade="BF"/>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15:restartNumberingAfterBreak="0">
    <w:nsid w:val="36E05DB1"/>
    <w:multiLevelType w:val="hybridMultilevel"/>
    <w:tmpl w:val="2898A174"/>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7660542"/>
    <w:multiLevelType w:val="hybridMultilevel"/>
    <w:tmpl w:val="D318BC46"/>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0D56C78"/>
    <w:multiLevelType w:val="hybridMultilevel"/>
    <w:tmpl w:val="47B67F58"/>
    <w:lvl w:ilvl="0" w:tplc="369202EE">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15:restartNumberingAfterBreak="0">
    <w:nsid w:val="42A15A5D"/>
    <w:multiLevelType w:val="hybridMultilevel"/>
    <w:tmpl w:val="9A4CD07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50211E8"/>
    <w:multiLevelType w:val="hybridMultilevel"/>
    <w:tmpl w:val="266EAB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7775890"/>
    <w:multiLevelType w:val="hybridMultilevel"/>
    <w:tmpl w:val="AD0C35FE"/>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84B2660"/>
    <w:multiLevelType w:val="hybridMultilevel"/>
    <w:tmpl w:val="B226FCD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A73671C"/>
    <w:multiLevelType w:val="hybridMultilevel"/>
    <w:tmpl w:val="EA6A8FB8"/>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BAB21BF"/>
    <w:multiLevelType w:val="hybridMultilevel"/>
    <w:tmpl w:val="898EB23C"/>
    <w:lvl w:ilvl="0" w:tplc="3A7CEF2E">
      <w:numFmt w:val="bullet"/>
      <w:lvlText w:val="–"/>
      <w:lvlJc w:val="left"/>
      <w:pPr>
        <w:ind w:left="4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F4C6320"/>
    <w:multiLevelType w:val="hybridMultilevel"/>
    <w:tmpl w:val="3BEC418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058069F"/>
    <w:multiLevelType w:val="hybridMultilevel"/>
    <w:tmpl w:val="26480C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42845BB"/>
    <w:multiLevelType w:val="hybridMultilevel"/>
    <w:tmpl w:val="A91C38E0"/>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77F6F8A"/>
    <w:multiLevelType w:val="hybridMultilevel"/>
    <w:tmpl w:val="91E46D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F10253E"/>
    <w:multiLevelType w:val="hybridMultilevel"/>
    <w:tmpl w:val="E728A9F0"/>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05A2627"/>
    <w:multiLevelType w:val="hybridMultilevel"/>
    <w:tmpl w:val="A060181A"/>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1123AA6"/>
    <w:multiLevelType w:val="hybridMultilevel"/>
    <w:tmpl w:val="58A2A8B2"/>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13A4425"/>
    <w:multiLevelType w:val="hybridMultilevel"/>
    <w:tmpl w:val="CF94FD76"/>
    <w:lvl w:ilvl="0" w:tplc="28D859C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1C87C7F"/>
    <w:multiLevelType w:val="hybridMultilevel"/>
    <w:tmpl w:val="F29E5368"/>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3A61837"/>
    <w:multiLevelType w:val="hybridMultilevel"/>
    <w:tmpl w:val="7C28795C"/>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42E744D"/>
    <w:multiLevelType w:val="hybridMultilevel"/>
    <w:tmpl w:val="E98C3434"/>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A2553A5"/>
    <w:multiLevelType w:val="hybridMultilevel"/>
    <w:tmpl w:val="5D7A7818"/>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AFB793A"/>
    <w:multiLevelType w:val="hybridMultilevel"/>
    <w:tmpl w:val="E460FD2E"/>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C6F3092"/>
    <w:multiLevelType w:val="hybridMultilevel"/>
    <w:tmpl w:val="2194AF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6EF20D28"/>
    <w:multiLevelType w:val="hybridMultilevel"/>
    <w:tmpl w:val="3EBE59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5411C0B"/>
    <w:multiLevelType w:val="hybridMultilevel"/>
    <w:tmpl w:val="EB76CAE2"/>
    <w:lvl w:ilvl="0" w:tplc="04050009">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3" w15:restartNumberingAfterBreak="0">
    <w:nsid w:val="7E055FFC"/>
    <w:multiLevelType w:val="hybridMultilevel"/>
    <w:tmpl w:val="169A766C"/>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F77495A"/>
    <w:multiLevelType w:val="hybridMultilevel"/>
    <w:tmpl w:val="82208898"/>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2"/>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5"/>
  </w:num>
  <w:num w:numId="5">
    <w:abstractNumId w:val="14"/>
  </w:num>
  <w:num w:numId="6">
    <w:abstractNumId w:val="17"/>
  </w:num>
  <w:num w:numId="7">
    <w:abstractNumId w:val="33"/>
  </w:num>
  <w:num w:numId="8">
    <w:abstractNumId w:val="3"/>
  </w:num>
  <w:num w:numId="9">
    <w:abstractNumId w:val="12"/>
  </w:num>
  <w:num w:numId="10">
    <w:abstractNumId w:val="18"/>
  </w:num>
  <w:num w:numId="11">
    <w:abstractNumId w:val="13"/>
  </w:num>
  <w:num w:numId="12">
    <w:abstractNumId w:val="6"/>
  </w:num>
  <w:num w:numId="13">
    <w:abstractNumId w:val="10"/>
  </w:num>
  <w:num w:numId="14">
    <w:abstractNumId w:val="29"/>
  </w:num>
  <w:num w:numId="15">
    <w:abstractNumId w:val="32"/>
  </w:num>
  <w:num w:numId="16">
    <w:abstractNumId w:val="43"/>
  </w:num>
  <w:num w:numId="17">
    <w:abstractNumId w:val="44"/>
  </w:num>
  <w:num w:numId="18">
    <w:abstractNumId w:val="37"/>
  </w:num>
  <w:num w:numId="19">
    <w:abstractNumId w:val="5"/>
  </w:num>
  <w:num w:numId="20">
    <w:abstractNumId w:val="31"/>
  </w:num>
  <w:num w:numId="21">
    <w:abstractNumId w:val="38"/>
  </w:num>
  <w:num w:numId="22">
    <w:abstractNumId w:val="35"/>
  </w:num>
  <w:num w:numId="23">
    <w:abstractNumId w:val="26"/>
  </w:num>
  <w:num w:numId="24">
    <w:abstractNumId w:val="7"/>
  </w:num>
  <w:num w:numId="25">
    <w:abstractNumId w:val="19"/>
  </w:num>
  <w:num w:numId="26">
    <w:abstractNumId w:val="11"/>
  </w:num>
  <w:num w:numId="27">
    <w:abstractNumId w:val="39"/>
  </w:num>
  <w:num w:numId="28">
    <w:abstractNumId w:val="36"/>
  </w:num>
  <w:num w:numId="29">
    <w:abstractNumId w:val="25"/>
  </w:num>
  <w:num w:numId="30">
    <w:abstractNumId w:val="16"/>
  </w:num>
  <w:num w:numId="31">
    <w:abstractNumId w:val="23"/>
  </w:num>
  <w:num w:numId="32">
    <w:abstractNumId w:val="0"/>
  </w:num>
  <w:num w:numId="33">
    <w:abstractNumId w:val="41"/>
  </w:num>
  <w:num w:numId="34">
    <w:abstractNumId w:val="28"/>
  </w:num>
  <w:num w:numId="35">
    <w:abstractNumId w:val="22"/>
  </w:num>
  <w:num w:numId="36">
    <w:abstractNumId w:val="30"/>
  </w:num>
  <w:num w:numId="37">
    <w:abstractNumId w:val="8"/>
  </w:num>
  <w:num w:numId="38">
    <w:abstractNumId w:val="27"/>
  </w:num>
  <w:num w:numId="39">
    <w:abstractNumId w:val="24"/>
  </w:num>
  <w:num w:numId="40">
    <w:abstractNumId w:val="21"/>
  </w:num>
  <w:num w:numId="41">
    <w:abstractNumId w:val="2"/>
  </w:num>
  <w:num w:numId="42">
    <w:abstractNumId w:val="34"/>
  </w:num>
  <w:num w:numId="43">
    <w:abstractNumId w:val="40"/>
  </w:num>
  <w:num w:numId="44">
    <w:abstractNumId w:val="1"/>
  </w:num>
  <w:num w:numId="45">
    <w:abstractNumId w:val="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1EF"/>
    <w:rsid w:val="00001673"/>
    <w:rsid w:val="000055BA"/>
    <w:rsid w:val="0000654D"/>
    <w:rsid w:val="000119E5"/>
    <w:rsid w:val="000128E7"/>
    <w:rsid w:val="0001468F"/>
    <w:rsid w:val="000151F2"/>
    <w:rsid w:val="00017990"/>
    <w:rsid w:val="00017BE0"/>
    <w:rsid w:val="000204CD"/>
    <w:rsid w:val="00020AF6"/>
    <w:rsid w:val="00021752"/>
    <w:rsid w:val="00021877"/>
    <w:rsid w:val="00025604"/>
    <w:rsid w:val="00025982"/>
    <w:rsid w:val="00027315"/>
    <w:rsid w:val="000307AF"/>
    <w:rsid w:val="0003245B"/>
    <w:rsid w:val="00032743"/>
    <w:rsid w:val="00034429"/>
    <w:rsid w:val="0003593A"/>
    <w:rsid w:val="000379C3"/>
    <w:rsid w:val="000407DA"/>
    <w:rsid w:val="0004093B"/>
    <w:rsid w:val="00040A6E"/>
    <w:rsid w:val="00041D6D"/>
    <w:rsid w:val="00045561"/>
    <w:rsid w:val="00047E8F"/>
    <w:rsid w:val="00051F4B"/>
    <w:rsid w:val="00052997"/>
    <w:rsid w:val="0005360D"/>
    <w:rsid w:val="00053D23"/>
    <w:rsid w:val="00053EE8"/>
    <w:rsid w:val="00055909"/>
    <w:rsid w:val="00055B93"/>
    <w:rsid w:val="00056115"/>
    <w:rsid w:val="00057B28"/>
    <w:rsid w:val="00063D28"/>
    <w:rsid w:val="000642C1"/>
    <w:rsid w:val="000643A7"/>
    <w:rsid w:val="00070FBE"/>
    <w:rsid w:val="00071A22"/>
    <w:rsid w:val="00072F05"/>
    <w:rsid w:val="000736D1"/>
    <w:rsid w:val="00077E7F"/>
    <w:rsid w:val="000822B8"/>
    <w:rsid w:val="000831E1"/>
    <w:rsid w:val="00085B8E"/>
    <w:rsid w:val="000942D4"/>
    <w:rsid w:val="00096AE9"/>
    <w:rsid w:val="000A2838"/>
    <w:rsid w:val="000A62FA"/>
    <w:rsid w:val="000A798E"/>
    <w:rsid w:val="000B06A1"/>
    <w:rsid w:val="000B2F14"/>
    <w:rsid w:val="000C09C5"/>
    <w:rsid w:val="000C2ED3"/>
    <w:rsid w:val="000C3A7D"/>
    <w:rsid w:val="000D1B89"/>
    <w:rsid w:val="000D1CCB"/>
    <w:rsid w:val="000D6655"/>
    <w:rsid w:val="000E1C01"/>
    <w:rsid w:val="000E7318"/>
    <w:rsid w:val="000F3912"/>
    <w:rsid w:val="000F5D98"/>
    <w:rsid w:val="000F7130"/>
    <w:rsid w:val="00102630"/>
    <w:rsid w:val="001039D2"/>
    <w:rsid w:val="00106200"/>
    <w:rsid w:val="0010675A"/>
    <w:rsid w:val="00114600"/>
    <w:rsid w:val="00115E71"/>
    <w:rsid w:val="00116DB7"/>
    <w:rsid w:val="00117818"/>
    <w:rsid w:val="001230E6"/>
    <w:rsid w:val="00123F2B"/>
    <w:rsid w:val="001276A4"/>
    <w:rsid w:val="00132BE7"/>
    <w:rsid w:val="00134505"/>
    <w:rsid w:val="00144DAB"/>
    <w:rsid w:val="00147122"/>
    <w:rsid w:val="00147D71"/>
    <w:rsid w:val="00157DBF"/>
    <w:rsid w:val="00162A6A"/>
    <w:rsid w:val="00175202"/>
    <w:rsid w:val="00175FDA"/>
    <w:rsid w:val="0018510F"/>
    <w:rsid w:val="00186633"/>
    <w:rsid w:val="00186667"/>
    <w:rsid w:val="001A7BD6"/>
    <w:rsid w:val="001B131A"/>
    <w:rsid w:val="001B37C9"/>
    <w:rsid w:val="001B41CA"/>
    <w:rsid w:val="001B617E"/>
    <w:rsid w:val="001C58D7"/>
    <w:rsid w:val="001C5DF2"/>
    <w:rsid w:val="001C6545"/>
    <w:rsid w:val="001D2BD7"/>
    <w:rsid w:val="001D7BF2"/>
    <w:rsid w:val="001E0A22"/>
    <w:rsid w:val="001E331A"/>
    <w:rsid w:val="001E49FD"/>
    <w:rsid w:val="001E5730"/>
    <w:rsid w:val="001F50BB"/>
    <w:rsid w:val="00200B0A"/>
    <w:rsid w:val="002014FF"/>
    <w:rsid w:val="00202989"/>
    <w:rsid w:val="002103AA"/>
    <w:rsid w:val="00213121"/>
    <w:rsid w:val="002145D1"/>
    <w:rsid w:val="00222BC4"/>
    <w:rsid w:val="00222C28"/>
    <w:rsid w:val="0022351B"/>
    <w:rsid w:val="00223F38"/>
    <w:rsid w:val="00223FF8"/>
    <w:rsid w:val="0022737E"/>
    <w:rsid w:val="00244125"/>
    <w:rsid w:val="00245332"/>
    <w:rsid w:val="0024627B"/>
    <w:rsid w:val="00251AB4"/>
    <w:rsid w:val="0025200E"/>
    <w:rsid w:val="0025503C"/>
    <w:rsid w:val="00261D9F"/>
    <w:rsid w:val="00265246"/>
    <w:rsid w:val="00272C67"/>
    <w:rsid w:val="00275257"/>
    <w:rsid w:val="00276D3C"/>
    <w:rsid w:val="00291CF7"/>
    <w:rsid w:val="00295507"/>
    <w:rsid w:val="002A1DE6"/>
    <w:rsid w:val="002A270C"/>
    <w:rsid w:val="002A3FC7"/>
    <w:rsid w:val="002B0D34"/>
    <w:rsid w:val="002B12BA"/>
    <w:rsid w:val="002B1D2D"/>
    <w:rsid w:val="002B1E37"/>
    <w:rsid w:val="002C7341"/>
    <w:rsid w:val="002D1908"/>
    <w:rsid w:val="002D7F64"/>
    <w:rsid w:val="002E2A31"/>
    <w:rsid w:val="002F4F7D"/>
    <w:rsid w:val="002F7518"/>
    <w:rsid w:val="003039A2"/>
    <w:rsid w:val="0030483C"/>
    <w:rsid w:val="003071E8"/>
    <w:rsid w:val="00313A55"/>
    <w:rsid w:val="00315490"/>
    <w:rsid w:val="00316A2B"/>
    <w:rsid w:val="003205D7"/>
    <w:rsid w:val="00320855"/>
    <w:rsid w:val="00323D54"/>
    <w:rsid w:val="00324CCC"/>
    <w:rsid w:val="00327D78"/>
    <w:rsid w:val="0033007C"/>
    <w:rsid w:val="00331062"/>
    <w:rsid w:val="00333991"/>
    <w:rsid w:val="003375D2"/>
    <w:rsid w:val="003415B0"/>
    <w:rsid w:val="00346FD9"/>
    <w:rsid w:val="00347A93"/>
    <w:rsid w:val="00350057"/>
    <w:rsid w:val="003555B6"/>
    <w:rsid w:val="00360102"/>
    <w:rsid w:val="0036198A"/>
    <w:rsid w:val="00362FF2"/>
    <w:rsid w:val="00364534"/>
    <w:rsid w:val="00364E3B"/>
    <w:rsid w:val="003650CF"/>
    <w:rsid w:val="00367F88"/>
    <w:rsid w:val="0037235E"/>
    <w:rsid w:val="00374BDB"/>
    <w:rsid w:val="00380A4D"/>
    <w:rsid w:val="003812C2"/>
    <w:rsid w:val="00385587"/>
    <w:rsid w:val="00386512"/>
    <w:rsid w:val="003871E2"/>
    <w:rsid w:val="003877AA"/>
    <w:rsid w:val="00391729"/>
    <w:rsid w:val="00391946"/>
    <w:rsid w:val="003937AF"/>
    <w:rsid w:val="00394C5A"/>
    <w:rsid w:val="00396E83"/>
    <w:rsid w:val="003B4FF9"/>
    <w:rsid w:val="003B74A9"/>
    <w:rsid w:val="003C34B4"/>
    <w:rsid w:val="003C3D97"/>
    <w:rsid w:val="003D63D7"/>
    <w:rsid w:val="003E08DC"/>
    <w:rsid w:val="003E7D6D"/>
    <w:rsid w:val="003F4F53"/>
    <w:rsid w:val="00400CC7"/>
    <w:rsid w:val="00402452"/>
    <w:rsid w:val="00402D3E"/>
    <w:rsid w:val="00403410"/>
    <w:rsid w:val="004108B6"/>
    <w:rsid w:val="00415A3C"/>
    <w:rsid w:val="00415BB3"/>
    <w:rsid w:val="004170DF"/>
    <w:rsid w:val="00420A84"/>
    <w:rsid w:val="004233F1"/>
    <w:rsid w:val="004254AD"/>
    <w:rsid w:val="00426604"/>
    <w:rsid w:val="004354C0"/>
    <w:rsid w:val="004356F9"/>
    <w:rsid w:val="00450C28"/>
    <w:rsid w:val="00455E6D"/>
    <w:rsid w:val="00462702"/>
    <w:rsid w:val="00464FD3"/>
    <w:rsid w:val="00473F0D"/>
    <w:rsid w:val="00481165"/>
    <w:rsid w:val="0048212A"/>
    <w:rsid w:val="0048428B"/>
    <w:rsid w:val="00485B89"/>
    <w:rsid w:val="00491666"/>
    <w:rsid w:val="00491912"/>
    <w:rsid w:val="004940B5"/>
    <w:rsid w:val="004963C7"/>
    <w:rsid w:val="004A18E8"/>
    <w:rsid w:val="004A2C13"/>
    <w:rsid w:val="004A45BA"/>
    <w:rsid w:val="004B342E"/>
    <w:rsid w:val="004B4F14"/>
    <w:rsid w:val="004B63C4"/>
    <w:rsid w:val="004B6DF6"/>
    <w:rsid w:val="004C2C7C"/>
    <w:rsid w:val="004D224A"/>
    <w:rsid w:val="004D492A"/>
    <w:rsid w:val="004D613D"/>
    <w:rsid w:val="004E09AF"/>
    <w:rsid w:val="004E666D"/>
    <w:rsid w:val="004E7FD9"/>
    <w:rsid w:val="004F0992"/>
    <w:rsid w:val="004F0D6B"/>
    <w:rsid w:val="004F31F8"/>
    <w:rsid w:val="004F5CD0"/>
    <w:rsid w:val="004F605A"/>
    <w:rsid w:val="004F60E1"/>
    <w:rsid w:val="004F7313"/>
    <w:rsid w:val="00502088"/>
    <w:rsid w:val="0050280B"/>
    <w:rsid w:val="005043BE"/>
    <w:rsid w:val="005052C2"/>
    <w:rsid w:val="005056F7"/>
    <w:rsid w:val="00513C33"/>
    <w:rsid w:val="00514011"/>
    <w:rsid w:val="0051689D"/>
    <w:rsid w:val="00523D9F"/>
    <w:rsid w:val="00525020"/>
    <w:rsid w:val="00531F77"/>
    <w:rsid w:val="00534474"/>
    <w:rsid w:val="00536F61"/>
    <w:rsid w:val="0054080F"/>
    <w:rsid w:val="00543120"/>
    <w:rsid w:val="00543FFF"/>
    <w:rsid w:val="00552366"/>
    <w:rsid w:val="005558E2"/>
    <w:rsid w:val="00560CC2"/>
    <w:rsid w:val="00562A51"/>
    <w:rsid w:val="00565357"/>
    <w:rsid w:val="005661D6"/>
    <w:rsid w:val="00580400"/>
    <w:rsid w:val="00595358"/>
    <w:rsid w:val="00595736"/>
    <w:rsid w:val="005A104B"/>
    <w:rsid w:val="005A29D1"/>
    <w:rsid w:val="005A31B3"/>
    <w:rsid w:val="005A4C88"/>
    <w:rsid w:val="005B09FC"/>
    <w:rsid w:val="005B3057"/>
    <w:rsid w:val="005B571A"/>
    <w:rsid w:val="005C2C0B"/>
    <w:rsid w:val="005D2FAA"/>
    <w:rsid w:val="005D3084"/>
    <w:rsid w:val="005D4446"/>
    <w:rsid w:val="005E21C3"/>
    <w:rsid w:val="005E2907"/>
    <w:rsid w:val="005E4359"/>
    <w:rsid w:val="005E485F"/>
    <w:rsid w:val="005E5B98"/>
    <w:rsid w:val="005E67E2"/>
    <w:rsid w:val="005E78D3"/>
    <w:rsid w:val="005E791A"/>
    <w:rsid w:val="005F5B43"/>
    <w:rsid w:val="00600248"/>
    <w:rsid w:val="00600E94"/>
    <w:rsid w:val="006019CF"/>
    <w:rsid w:val="0060215E"/>
    <w:rsid w:val="00604785"/>
    <w:rsid w:val="0060651A"/>
    <w:rsid w:val="00607BAF"/>
    <w:rsid w:val="006146C5"/>
    <w:rsid w:val="00620484"/>
    <w:rsid w:val="00624AF7"/>
    <w:rsid w:val="00626D32"/>
    <w:rsid w:val="006300FF"/>
    <w:rsid w:val="00642A0C"/>
    <w:rsid w:val="00642C20"/>
    <w:rsid w:val="00644E6B"/>
    <w:rsid w:val="00650C6D"/>
    <w:rsid w:val="006536B6"/>
    <w:rsid w:val="0067049D"/>
    <w:rsid w:val="0067064C"/>
    <w:rsid w:val="00672C19"/>
    <w:rsid w:val="00674E78"/>
    <w:rsid w:val="00675A13"/>
    <w:rsid w:val="00681451"/>
    <w:rsid w:val="00683529"/>
    <w:rsid w:val="00683C35"/>
    <w:rsid w:val="006841FC"/>
    <w:rsid w:val="00693DEE"/>
    <w:rsid w:val="006A180C"/>
    <w:rsid w:val="006A3185"/>
    <w:rsid w:val="006A6B46"/>
    <w:rsid w:val="006B0CAA"/>
    <w:rsid w:val="006B24C9"/>
    <w:rsid w:val="006C190B"/>
    <w:rsid w:val="006C2CCA"/>
    <w:rsid w:val="006D5813"/>
    <w:rsid w:val="006D753A"/>
    <w:rsid w:val="006F1281"/>
    <w:rsid w:val="006F1572"/>
    <w:rsid w:val="006F2AEE"/>
    <w:rsid w:val="006F51DC"/>
    <w:rsid w:val="006F5CE5"/>
    <w:rsid w:val="00701638"/>
    <w:rsid w:val="0070175A"/>
    <w:rsid w:val="00710B2A"/>
    <w:rsid w:val="00712F7A"/>
    <w:rsid w:val="007159DB"/>
    <w:rsid w:val="00716180"/>
    <w:rsid w:val="00717D40"/>
    <w:rsid w:val="00724A35"/>
    <w:rsid w:val="00727C14"/>
    <w:rsid w:val="0073713F"/>
    <w:rsid w:val="00744AA2"/>
    <w:rsid w:val="00745A54"/>
    <w:rsid w:val="00745FC7"/>
    <w:rsid w:val="00752CA3"/>
    <w:rsid w:val="007547E6"/>
    <w:rsid w:val="00754CE7"/>
    <w:rsid w:val="00762ACA"/>
    <w:rsid w:val="00763D3D"/>
    <w:rsid w:val="0076497C"/>
    <w:rsid w:val="007727FA"/>
    <w:rsid w:val="00774D5B"/>
    <w:rsid w:val="00792878"/>
    <w:rsid w:val="0079511C"/>
    <w:rsid w:val="007A2CA3"/>
    <w:rsid w:val="007B22A6"/>
    <w:rsid w:val="007B24A9"/>
    <w:rsid w:val="007B67E5"/>
    <w:rsid w:val="007C44A3"/>
    <w:rsid w:val="007C53BC"/>
    <w:rsid w:val="007D157B"/>
    <w:rsid w:val="007D5D62"/>
    <w:rsid w:val="007E42D8"/>
    <w:rsid w:val="007F47B1"/>
    <w:rsid w:val="007F5B58"/>
    <w:rsid w:val="007F5E29"/>
    <w:rsid w:val="007F64D6"/>
    <w:rsid w:val="007F7934"/>
    <w:rsid w:val="00800493"/>
    <w:rsid w:val="008022F7"/>
    <w:rsid w:val="0080275D"/>
    <w:rsid w:val="00807A85"/>
    <w:rsid w:val="008104BD"/>
    <w:rsid w:val="008117C2"/>
    <w:rsid w:val="008142D1"/>
    <w:rsid w:val="00814A42"/>
    <w:rsid w:val="008159DF"/>
    <w:rsid w:val="00826437"/>
    <w:rsid w:val="00831D37"/>
    <w:rsid w:val="008344D6"/>
    <w:rsid w:val="008346F5"/>
    <w:rsid w:val="0083479B"/>
    <w:rsid w:val="00841432"/>
    <w:rsid w:val="00842BCB"/>
    <w:rsid w:val="00847457"/>
    <w:rsid w:val="00847DD8"/>
    <w:rsid w:val="008521C0"/>
    <w:rsid w:val="00852E2E"/>
    <w:rsid w:val="00856F35"/>
    <w:rsid w:val="00862B4E"/>
    <w:rsid w:val="00862F72"/>
    <w:rsid w:val="00873FF5"/>
    <w:rsid w:val="00874203"/>
    <w:rsid w:val="0087492C"/>
    <w:rsid w:val="008775B3"/>
    <w:rsid w:val="00881939"/>
    <w:rsid w:val="008872DC"/>
    <w:rsid w:val="00895BFB"/>
    <w:rsid w:val="008A0583"/>
    <w:rsid w:val="008A1180"/>
    <w:rsid w:val="008A1286"/>
    <w:rsid w:val="008A1B00"/>
    <w:rsid w:val="008A4B19"/>
    <w:rsid w:val="008A624C"/>
    <w:rsid w:val="008A7622"/>
    <w:rsid w:val="008B1898"/>
    <w:rsid w:val="008B3273"/>
    <w:rsid w:val="008B6C93"/>
    <w:rsid w:val="008C3232"/>
    <w:rsid w:val="008D36E1"/>
    <w:rsid w:val="008D3DE3"/>
    <w:rsid w:val="008D42AB"/>
    <w:rsid w:val="008E66E0"/>
    <w:rsid w:val="008F117C"/>
    <w:rsid w:val="008F2AAD"/>
    <w:rsid w:val="008F2B23"/>
    <w:rsid w:val="008F3773"/>
    <w:rsid w:val="008F7607"/>
    <w:rsid w:val="008F7C22"/>
    <w:rsid w:val="00901D07"/>
    <w:rsid w:val="00906399"/>
    <w:rsid w:val="0091306F"/>
    <w:rsid w:val="009160FF"/>
    <w:rsid w:val="00916D41"/>
    <w:rsid w:val="009201EF"/>
    <w:rsid w:val="00921EE5"/>
    <w:rsid w:val="00922BB7"/>
    <w:rsid w:val="00925957"/>
    <w:rsid w:val="00930910"/>
    <w:rsid w:val="00931A90"/>
    <w:rsid w:val="00933FF3"/>
    <w:rsid w:val="00941AAF"/>
    <w:rsid w:val="009422F9"/>
    <w:rsid w:val="0095061F"/>
    <w:rsid w:val="00954D79"/>
    <w:rsid w:val="00956BEF"/>
    <w:rsid w:val="00956E81"/>
    <w:rsid w:val="009639DC"/>
    <w:rsid w:val="009647D4"/>
    <w:rsid w:val="00967F9F"/>
    <w:rsid w:val="00970F06"/>
    <w:rsid w:val="009723E9"/>
    <w:rsid w:val="00975020"/>
    <w:rsid w:val="00975444"/>
    <w:rsid w:val="00977A17"/>
    <w:rsid w:val="00987E97"/>
    <w:rsid w:val="009A08AB"/>
    <w:rsid w:val="009B10F6"/>
    <w:rsid w:val="009B380E"/>
    <w:rsid w:val="009B3951"/>
    <w:rsid w:val="009C0902"/>
    <w:rsid w:val="009C24DC"/>
    <w:rsid w:val="009C5D5D"/>
    <w:rsid w:val="009D0BEB"/>
    <w:rsid w:val="009D0EDB"/>
    <w:rsid w:val="009D173F"/>
    <w:rsid w:val="009D70D1"/>
    <w:rsid w:val="009D770C"/>
    <w:rsid w:val="009E2BB9"/>
    <w:rsid w:val="009E4C1D"/>
    <w:rsid w:val="009E5C85"/>
    <w:rsid w:val="009E5C9D"/>
    <w:rsid w:val="009F2945"/>
    <w:rsid w:val="009F3D75"/>
    <w:rsid w:val="009F4550"/>
    <w:rsid w:val="009F5206"/>
    <w:rsid w:val="009F54A6"/>
    <w:rsid w:val="00A000AA"/>
    <w:rsid w:val="00A11054"/>
    <w:rsid w:val="00A110F2"/>
    <w:rsid w:val="00A111A5"/>
    <w:rsid w:val="00A1207A"/>
    <w:rsid w:val="00A12362"/>
    <w:rsid w:val="00A1402F"/>
    <w:rsid w:val="00A16C0F"/>
    <w:rsid w:val="00A17D84"/>
    <w:rsid w:val="00A35F11"/>
    <w:rsid w:val="00A36544"/>
    <w:rsid w:val="00A46E4A"/>
    <w:rsid w:val="00A51012"/>
    <w:rsid w:val="00A53B17"/>
    <w:rsid w:val="00A564CC"/>
    <w:rsid w:val="00A56ABF"/>
    <w:rsid w:val="00A60737"/>
    <w:rsid w:val="00A638E4"/>
    <w:rsid w:val="00A6503E"/>
    <w:rsid w:val="00A65539"/>
    <w:rsid w:val="00A65D8D"/>
    <w:rsid w:val="00A67199"/>
    <w:rsid w:val="00A67D5C"/>
    <w:rsid w:val="00A7022B"/>
    <w:rsid w:val="00A74A78"/>
    <w:rsid w:val="00A7563C"/>
    <w:rsid w:val="00A84392"/>
    <w:rsid w:val="00A906C0"/>
    <w:rsid w:val="00A909D4"/>
    <w:rsid w:val="00A92ADD"/>
    <w:rsid w:val="00A94E1D"/>
    <w:rsid w:val="00A9743E"/>
    <w:rsid w:val="00AA0BAA"/>
    <w:rsid w:val="00AB1937"/>
    <w:rsid w:val="00AB786D"/>
    <w:rsid w:val="00AC0E5D"/>
    <w:rsid w:val="00AC642C"/>
    <w:rsid w:val="00AC6695"/>
    <w:rsid w:val="00AD1E4D"/>
    <w:rsid w:val="00AD2338"/>
    <w:rsid w:val="00AD5836"/>
    <w:rsid w:val="00AD7DA1"/>
    <w:rsid w:val="00AE6614"/>
    <w:rsid w:val="00AF0616"/>
    <w:rsid w:val="00AF67C2"/>
    <w:rsid w:val="00B0588B"/>
    <w:rsid w:val="00B106BC"/>
    <w:rsid w:val="00B164E6"/>
    <w:rsid w:val="00B21709"/>
    <w:rsid w:val="00B23B18"/>
    <w:rsid w:val="00B24A69"/>
    <w:rsid w:val="00B26269"/>
    <w:rsid w:val="00B35EAB"/>
    <w:rsid w:val="00B40E31"/>
    <w:rsid w:val="00B42E1F"/>
    <w:rsid w:val="00B43E37"/>
    <w:rsid w:val="00B45F66"/>
    <w:rsid w:val="00B45FBB"/>
    <w:rsid w:val="00B46CC4"/>
    <w:rsid w:val="00B47C10"/>
    <w:rsid w:val="00B50FEB"/>
    <w:rsid w:val="00B51CB0"/>
    <w:rsid w:val="00B528F4"/>
    <w:rsid w:val="00B53BF7"/>
    <w:rsid w:val="00B6398A"/>
    <w:rsid w:val="00B75BF5"/>
    <w:rsid w:val="00B7644D"/>
    <w:rsid w:val="00B77ED9"/>
    <w:rsid w:val="00B80BA7"/>
    <w:rsid w:val="00B948C3"/>
    <w:rsid w:val="00B9656A"/>
    <w:rsid w:val="00B9674F"/>
    <w:rsid w:val="00B97482"/>
    <w:rsid w:val="00BA5AA7"/>
    <w:rsid w:val="00BA6AAA"/>
    <w:rsid w:val="00BB2283"/>
    <w:rsid w:val="00BC3FA3"/>
    <w:rsid w:val="00BD012C"/>
    <w:rsid w:val="00BD2888"/>
    <w:rsid w:val="00BD7109"/>
    <w:rsid w:val="00BE1184"/>
    <w:rsid w:val="00BE7415"/>
    <w:rsid w:val="00BF4BB7"/>
    <w:rsid w:val="00BF5640"/>
    <w:rsid w:val="00C04F70"/>
    <w:rsid w:val="00C10F68"/>
    <w:rsid w:val="00C14190"/>
    <w:rsid w:val="00C16500"/>
    <w:rsid w:val="00C1685B"/>
    <w:rsid w:val="00C216E5"/>
    <w:rsid w:val="00C2332B"/>
    <w:rsid w:val="00C278E0"/>
    <w:rsid w:val="00C34260"/>
    <w:rsid w:val="00C351A5"/>
    <w:rsid w:val="00C36BB6"/>
    <w:rsid w:val="00C44D7C"/>
    <w:rsid w:val="00C52C72"/>
    <w:rsid w:val="00C54F5A"/>
    <w:rsid w:val="00C618A7"/>
    <w:rsid w:val="00C650EB"/>
    <w:rsid w:val="00C65BE3"/>
    <w:rsid w:val="00C66567"/>
    <w:rsid w:val="00C70981"/>
    <w:rsid w:val="00C72C43"/>
    <w:rsid w:val="00C72CE7"/>
    <w:rsid w:val="00C72E98"/>
    <w:rsid w:val="00C7463C"/>
    <w:rsid w:val="00C807B3"/>
    <w:rsid w:val="00C80C74"/>
    <w:rsid w:val="00C81268"/>
    <w:rsid w:val="00C842F4"/>
    <w:rsid w:val="00C85693"/>
    <w:rsid w:val="00C87835"/>
    <w:rsid w:val="00C9207E"/>
    <w:rsid w:val="00C922E5"/>
    <w:rsid w:val="00C92595"/>
    <w:rsid w:val="00C97043"/>
    <w:rsid w:val="00CA29A0"/>
    <w:rsid w:val="00CA2B92"/>
    <w:rsid w:val="00CA37DF"/>
    <w:rsid w:val="00CA647A"/>
    <w:rsid w:val="00CA7695"/>
    <w:rsid w:val="00CB08EF"/>
    <w:rsid w:val="00CB2144"/>
    <w:rsid w:val="00CB2F98"/>
    <w:rsid w:val="00CC17C7"/>
    <w:rsid w:val="00CC2F62"/>
    <w:rsid w:val="00CD0CD1"/>
    <w:rsid w:val="00CE3243"/>
    <w:rsid w:val="00CE5BD6"/>
    <w:rsid w:val="00CE7200"/>
    <w:rsid w:val="00CE732D"/>
    <w:rsid w:val="00CE7993"/>
    <w:rsid w:val="00CF585B"/>
    <w:rsid w:val="00D061B0"/>
    <w:rsid w:val="00D10B0C"/>
    <w:rsid w:val="00D11C78"/>
    <w:rsid w:val="00D1495D"/>
    <w:rsid w:val="00D14E63"/>
    <w:rsid w:val="00D168DC"/>
    <w:rsid w:val="00D20377"/>
    <w:rsid w:val="00D20732"/>
    <w:rsid w:val="00D20E86"/>
    <w:rsid w:val="00D223C0"/>
    <w:rsid w:val="00D22414"/>
    <w:rsid w:val="00D248F3"/>
    <w:rsid w:val="00D24BC1"/>
    <w:rsid w:val="00D24C1D"/>
    <w:rsid w:val="00D26FF6"/>
    <w:rsid w:val="00D30B1D"/>
    <w:rsid w:val="00D34E21"/>
    <w:rsid w:val="00D362A2"/>
    <w:rsid w:val="00D36D69"/>
    <w:rsid w:val="00D36F52"/>
    <w:rsid w:val="00D37D1D"/>
    <w:rsid w:val="00D40852"/>
    <w:rsid w:val="00D500FA"/>
    <w:rsid w:val="00D50CF1"/>
    <w:rsid w:val="00D51B22"/>
    <w:rsid w:val="00D53B7A"/>
    <w:rsid w:val="00D56253"/>
    <w:rsid w:val="00D5773E"/>
    <w:rsid w:val="00D614EC"/>
    <w:rsid w:val="00D66149"/>
    <w:rsid w:val="00D703CE"/>
    <w:rsid w:val="00D7174C"/>
    <w:rsid w:val="00D755BD"/>
    <w:rsid w:val="00D75FF5"/>
    <w:rsid w:val="00D84648"/>
    <w:rsid w:val="00D873C5"/>
    <w:rsid w:val="00D9245E"/>
    <w:rsid w:val="00D94F5F"/>
    <w:rsid w:val="00D95343"/>
    <w:rsid w:val="00D956DE"/>
    <w:rsid w:val="00D97112"/>
    <w:rsid w:val="00DA1B4B"/>
    <w:rsid w:val="00DA3180"/>
    <w:rsid w:val="00DA3F46"/>
    <w:rsid w:val="00DB39EF"/>
    <w:rsid w:val="00DC079D"/>
    <w:rsid w:val="00DD0F02"/>
    <w:rsid w:val="00DD3A95"/>
    <w:rsid w:val="00DD4F1C"/>
    <w:rsid w:val="00DD7C7E"/>
    <w:rsid w:val="00DE3CDC"/>
    <w:rsid w:val="00DE5B33"/>
    <w:rsid w:val="00DF34E3"/>
    <w:rsid w:val="00E021CE"/>
    <w:rsid w:val="00E03E73"/>
    <w:rsid w:val="00E123D9"/>
    <w:rsid w:val="00E1555C"/>
    <w:rsid w:val="00E22C94"/>
    <w:rsid w:val="00E2393F"/>
    <w:rsid w:val="00E278F7"/>
    <w:rsid w:val="00E3152F"/>
    <w:rsid w:val="00E33E54"/>
    <w:rsid w:val="00E35889"/>
    <w:rsid w:val="00E403D9"/>
    <w:rsid w:val="00E44522"/>
    <w:rsid w:val="00E466DE"/>
    <w:rsid w:val="00E474C4"/>
    <w:rsid w:val="00E51C85"/>
    <w:rsid w:val="00E5355F"/>
    <w:rsid w:val="00E55CF6"/>
    <w:rsid w:val="00E60386"/>
    <w:rsid w:val="00E60A4D"/>
    <w:rsid w:val="00E62F36"/>
    <w:rsid w:val="00E7492B"/>
    <w:rsid w:val="00E74F40"/>
    <w:rsid w:val="00E75466"/>
    <w:rsid w:val="00E8471F"/>
    <w:rsid w:val="00E93251"/>
    <w:rsid w:val="00E95140"/>
    <w:rsid w:val="00E97221"/>
    <w:rsid w:val="00EA08B3"/>
    <w:rsid w:val="00EA2BE1"/>
    <w:rsid w:val="00EA3FD6"/>
    <w:rsid w:val="00EA418F"/>
    <w:rsid w:val="00EA53C7"/>
    <w:rsid w:val="00EB15EB"/>
    <w:rsid w:val="00EB1C24"/>
    <w:rsid w:val="00EC11F2"/>
    <w:rsid w:val="00EC12EB"/>
    <w:rsid w:val="00EC40F1"/>
    <w:rsid w:val="00ED1325"/>
    <w:rsid w:val="00ED6A93"/>
    <w:rsid w:val="00ED7E47"/>
    <w:rsid w:val="00EE02F3"/>
    <w:rsid w:val="00EE033A"/>
    <w:rsid w:val="00EE2657"/>
    <w:rsid w:val="00EE2DDA"/>
    <w:rsid w:val="00EE2EAD"/>
    <w:rsid w:val="00EE2F75"/>
    <w:rsid w:val="00EE325C"/>
    <w:rsid w:val="00EE48E1"/>
    <w:rsid w:val="00EE5533"/>
    <w:rsid w:val="00EF0349"/>
    <w:rsid w:val="00EF28C3"/>
    <w:rsid w:val="00F07B5F"/>
    <w:rsid w:val="00F14218"/>
    <w:rsid w:val="00F158D7"/>
    <w:rsid w:val="00F20CFA"/>
    <w:rsid w:val="00F21329"/>
    <w:rsid w:val="00F235D6"/>
    <w:rsid w:val="00F23BE2"/>
    <w:rsid w:val="00F3460F"/>
    <w:rsid w:val="00F42F5F"/>
    <w:rsid w:val="00F50536"/>
    <w:rsid w:val="00F505CE"/>
    <w:rsid w:val="00F5233A"/>
    <w:rsid w:val="00F5238D"/>
    <w:rsid w:val="00F52E2C"/>
    <w:rsid w:val="00F600D6"/>
    <w:rsid w:val="00F61555"/>
    <w:rsid w:val="00F70F87"/>
    <w:rsid w:val="00F71502"/>
    <w:rsid w:val="00F73E95"/>
    <w:rsid w:val="00F86700"/>
    <w:rsid w:val="00F9167A"/>
    <w:rsid w:val="00F92986"/>
    <w:rsid w:val="00FA129D"/>
    <w:rsid w:val="00FA17F3"/>
    <w:rsid w:val="00FA4337"/>
    <w:rsid w:val="00FA5062"/>
    <w:rsid w:val="00FC094F"/>
    <w:rsid w:val="00FC0C2B"/>
    <w:rsid w:val="00FD03CC"/>
    <w:rsid w:val="00FD0494"/>
    <w:rsid w:val="00FD0EF3"/>
    <w:rsid w:val="00FF36CA"/>
    <w:rsid w:val="00FF4130"/>
    <w:rsid w:val="00FF51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3565D6-0D01-4541-919A-444CE667B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13121"/>
  </w:style>
  <w:style w:type="paragraph" w:styleId="Nadpis1">
    <w:name w:val="heading 1"/>
    <w:basedOn w:val="Normln"/>
    <w:next w:val="Normln"/>
    <w:link w:val="Nadpis1Char"/>
    <w:uiPriority w:val="9"/>
    <w:qFormat/>
    <w:rsid w:val="00E60A4D"/>
    <w:pPr>
      <w:keepNext/>
      <w:keepLines/>
      <w:spacing w:before="480" w:after="240" w:line="240" w:lineRule="auto"/>
      <w:outlineLvl w:val="0"/>
    </w:pPr>
    <w:rPr>
      <w:rFonts w:ascii="Times New Roman" w:eastAsiaTheme="majorEastAsia" w:hAnsi="Times New Roman" w:cstheme="majorBidi"/>
      <w:b/>
      <w:bCs/>
      <w:color w:val="17365D" w:themeColor="text2" w:themeShade="BF"/>
      <w:sz w:val="32"/>
      <w:szCs w:val="28"/>
    </w:rPr>
  </w:style>
  <w:style w:type="paragraph" w:styleId="Nadpis2">
    <w:name w:val="heading 2"/>
    <w:basedOn w:val="Normln"/>
    <w:next w:val="Normln"/>
    <w:link w:val="Nadpis2Char"/>
    <w:uiPriority w:val="9"/>
    <w:unhideWhenUsed/>
    <w:qFormat/>
    <w:rsid w:val="00E60A4D"/>
    <w:pPr>
      <w:keepNext/>
      <w:keepLines/>
      <w:pageBreakBefore/>
      <w:spacing w:before="200"/>
      <w:outlineLvl w:val="1"/>
    </w:pPr>
    <w:rPr>
      <w:rFonts w:ascii="Times New Roman" w:eastAsiaTheme="majorEastAsia" w:hAnsi="Times New Roman" w:cstheme="majorBidi"/>
      <w:b/>
      <w:bCs/>
      <w:caps/>
      <w:color w:val="17365D" w:themeColor="text2" w:themeShade="BF"/>
      <w:sz w:val="24"/>
      <w:szCs w:val="26"/>
    </w:rPr>
  </w:style>
  <w:style w:type="paragraph" w:styleId="Nadpis3">
    <w:name w:val="heading 3"/>
    <w:basedOn w:val="Normln"/>
    <w:next w:val="Normln"/>
    <w:link w:val="Nadpis3Char"/>
    <w:uiPriority w:val="9"/>
    <w:unhideWhenUsed/>
    <w:qFormat/>
    <w:rsid w:val="00E60A4D"/>
    <w:pPr>
      <w:keepNext/>
      <w:keepLines/>
      <w:spacing w:before="200" w:after="240"/>
      <w:outlineLvl w:val="2"/>
    </w:pPr>
    <w:rPr>
      <w:rFonts w:ascii="Times New Roman" w:eastAsiaTheme="majorEastAsia" w:hAnsi="Times New Roman" w:cstheme="majorBidi"/>
      <w:b/>
      <w:bCs/>
      <w:caps/>
      <w:color w:val="17365D" w:themeColor="text2" w:themeShade="BF"/>
      <w:sz w:val="24"/>
    </w:rPr>
  </w:style>
  <w:style w:type="paragraph" w:styleId="Nadpis4">
    <w:name w:val="heading 4"/>
    <w:basedOn w:val="Normln"/>
    <w:next w:val="Normln"/>
    <w:link w:val="Nadpis4Char"/>
    <w:uiPriority w:val="9"/>
    <w:unhideWhenUsed/>
    <w:qFormat/>
    <w:rsid w:val="00E60A4D"/>
    <w:pPr>
      <w:keepNext/>
      <w:keepLines/>
      <w:spacing w:before="200" w:after="0"/>
      <w:outlineLvl w:val="3"/>
    </w:pPr>
    <w:rPr>
      <w:rFonts w:asciiTheme="majorHAnsi" w:eastAsiaTheme="majorEastAsia" w:hAnsiTheme="majorHAnsi" w:cstheme="majorBidi"/>
      <w:b/>
      <w:bCs/>
      <w:i/>
      <w:iCs/>
      <w:color w:val="17365D" w:themeColor="text2"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60A4D"/>
    <w:rPr>
      <w:rFonts w:ascii="Times New Roman" w:eastAsiaTheme="majorEastAsia" w:hAnsi="Times New Roman" w:cstheme="majorBidi"/>
      <w:b/>
      <w:bCs/>
      <w:color w:val="17365D" w:themeColor="text2" w:themeShade="BF"/>
      <w:sz w:val="32"/>
      <w:szCs w:val="28"/>
    </w:rPr>
  </w:style>
  <w:style w:type="character" w:customStyle="1" w:styleId="Nadpis2Char">
    <w:name w:val="Nadpis 2 Char"/>
    <w:basedOn w:val="Standardnpsmoodstavce"/>
    <w:link w:val="Nadpis2"/>
    <w:uiPriority w:val="9"/>
    <w:rsid w:val="00E60A4D"/>
    <w:rPr>
      <w:rFonts w:ascii="Times New Roman" w:eastAsiaTheme="majorEastAsia" w:hAnsi="Times New Roman" w:cstheme="majorBidi"/>
      <w:b/>
      <w:bCs/>
      <w:caps/>
      <w:color w:val="17365D" w:themeColor="text2" w:themeShade="BF"/>
      <w:sz w:val="24"/>
      <w:szCs w:val="26"/>
    </w:rPr>
  </w:style>
  <w:style w:type="character" w:customStyle="1" w:styleId="Nadpis3Char">
    <w:name w:val="Nadpis 3 Char"/>
    <w:basedOn w:val="Standardnpsmoodstavce"/>
    <w:link w:val="Nadpis3"/>
    <w:uiPriority w:val="9"/>
    <w:rsid w:val="00E60A4D"/>
    <w:rPr>
      <w:rFonts w:ascii="Times New Roman" w:eastAsiaTheme="majorEastAsia" w:hAnsi="Times New Roman" w:cstheme="majorBidi"/>
      <w:b/>
      <w:bCs/>
      <w:caps/>
      <w:color w:val="17365D" w:themeColor="text2" w:themeShade="BF"/>
      <w:sz w:val="24"/>
    </w:rPr>
  </w:style>
  <w:style w:type="paragraph" w:styleId="Odstavecseseznamem">
    <w:name w:val="List Paragraph"/>
    <w:basedOn w:val="Normln"/>
    <w:uiPriority w:val="34"/>
    <w:qFormat/>
    <w:rsid w:val="009201EF"/>
    <w:pPr>
      <w:ind w:left="720"/>
      <w:contextualSpacing/>
    </w:pPr>
  </w:style>
  <w:style w:type="character" w:styleId="Hypertextovodkaz">
    <w:name w:val="Hyperlink"/>
    <w:basedOn w:val="Standardnpsmoodstavce"/>
    <w:uiPriority w:val="99"/>
    <w:unhideWhenUsed/>
    <w:rsid w:val="009201EF"/>
    <w:rPr>
      <w:color w:val="0000FF" w:themeColor="hyperlink"/>
      <w:u w:val="single"/>
    </w:rPr>
  </w:style>
  <w:style w:type="paragraph" w:styleId="Bezmezer">
    <w:name w:val="No Spacing"/>
    <w:qFormat/>
    <w:rsid w:val="009201EF"/>
    <w:pPr>
      <w:spacing w:after="0" w:line="240" w:lineRule="auto"/>
    </w:pPr>
    <w:rPr>
      <w:rFonts w:ascii="Calibri" w:eastAsia="Calibri" w:hAnsi="Calibri" w:cs="Times New Roman"/>
    </w:rPr>
  </w:style>
  <w:style w:type="paragraph" w:styleId="Textbubliny">
    <w:name w:val="Balloon Text"/>
    <w:basedOn w:val="Normln"/>
    <w:link w:val="TextbublinyChar"/>
    <w:uiPriority w:val="99"/>
    <w:semiHidden/>
    <w:unhideWhenUsed/>
    <w:rsid w:val="009201E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201EF"/>
    <w:rPr>
      <w:rFonts w:ascii="Tahoma" w:hAnsi="Tahoma" w:cs="Tahoma"/>
      <w:sz w:val="16"/>
      <w:szCs w:val="16"/>
    </w:rPr>
  </w:style>
  <w:style w:type="character" w:customStyle="1" w:styleId="highlight">
    <w:name w:val="highlight"/>
    <w:basedOn w:val="Standardnpsmoodstavce"/>
    <w:rsid w:val="009201EF"/>
  </w:style>
  <w:style w:type="paragraph" w:styleId="Obsah1">
    <w:name w:val="toc 1"/>
    <w:basedOn w:val="Normln"/>
    <w:next w:val="Normln"/>
    <w:autoRedefine/>
    <w:uiPriority w:val="39"/>
    <w:unhideWhenUsed/>
    <w:rsid w:val="00873FF5"/>
    <w:pPr>
      <w:tabs>
        <w:tab w:val="right" w:leader="dot" w:pos="9174"/>
      </w:tabs>
      <w:spacing w:after="0" w:line="240" w:lineRule="auto"/>
      <w:jc w:val="both"/>
    </w:pPr>
    <w:rPr>
      <w:rFonts w:ascii="Times New Roman" w:hAnsi="Times New Roman"/>
      <w:noProof/>
      <w:color w:val="17365D" w:themeColor="text2" w:themeShade="BF"/>
    </w:rPr>
  </w:style>
  <w:style w:type="paragraph" w:styleId="Obsah2">
    <w:name w:val="toc 2"/>
    <w:basedOn w:val="Normln"/>
    <w:next w:val="Normln"/>
    <w:autoRedefine/>
    <w:uiPriority w:val="39"/>
    <w:unhideWhenUsed/>
    <w:rsid w:val="00473F0D"/>
    <w:pPr>
      <w:spacing w:after="100" w:line="240" w:lineRule="auto"/>
    </w:pPr>
    <w:rPr>
      <w:rFonts w:ascii="Times New Roman" w:hAnsi="Times New Roman"/>
    </w:rPr>
  </w:style>
  <w:style w:type="paragraph" w:styleId="Obsah3">
    <w:name w:val="toc 3"/>
    <w:basedOn w:val="Normln"/>
    <w:next w:val="Normln"/>
    <w:autoRedefine/>
    <w:uiPriority w:val="39"/>
    <w:unhideWhenUsed/>
    <w:rsid w:val="00473F0D"/>
    <w:pPr>
      <w:tabs>
        <w:tab w:val="right" w:leader="dot" w:pos="9062"/>
      </w:tabs>
      <w:spacing w:after="100" w:line="240" w:lineRule="auto"/>
    </w:pPr>
    <w:rPr>
      <w:rFonts w:ascii="Times New Roman" w:hAnsi="Times New Roman"/>
    </w:rPr>
  </w:style>
  <w:style w:type="table" w:styleId="Mkatabulky">
    <w:name w:val="Table Grid"/>
    <w:basedOn w:val="Normlntabulka"/>
    <w:uiPriority w:val="59"/>
    <w:rsid w:val="00920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9201E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201EF"/>
  </w:style>
  <w:style w:type="paragraph" w:styleId="Zpat">
    <w:name w:val="footer"/>
    <w:basedOn w:val="Normln"/>
    <w:link w:val="ZpatChar"/>
    <w:uiPriority w:val="99"/>
    <w:unhideWhenUsed/>
    <w:rsid w:val="009201EF"/>
    <w:pPr>
      <w:tabs>
        <w:tab w:val="center" w:pos="4536"/>
        <w:tab w:val="right" w:pos="9072"/>
      </w:tabs>
      <w:spacing w:after="0" w:line="240" w:lineRule="auto"/>
    </w:pPr>
  </w:style>
  <w:style w:type="character" w:customStyle="1" w:styleId="ZpatChar">
    <w:name w:val="Zápatí Char"/>
    <w:basedOn w:val="Standardnpsmoodstavce"/>
    <w:link w:val="Zpat"/>
    <w:uiPriority w:val="99"/>
    <w:rsid w:val="009201EF"/>
  </w:style>
  <w:style w:type="paragraph" w:styleId="Normlnweb">
    <w:name w:val="Normal (Web)"/>
    <w:basedOn w:val="Normln"/>
    <w:uiPriority w:val="99"/>
    <w:semiHidden/>
    <w:unhideWhenUsed/>
    <w:rsid w:val="003937A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3937AF"/>
    <w:rPr>
      <w:b/>
      <w:bCs/>
    </w:rPr>
  </w:style>
  <w:style w:type="character" w:customStyle="1" w:styleId="Nadpis4Char">
    <w:name w:val="Nadpis 4 Char"/>
    <w:basedOn w:val="Standardnpsmoodstavce"/>
    <w:link w:val="Nadpis4"/>
    <w:uiPriority w:val="9"/>
    <w:rsid w:val="00E60A4D"/>
    <w:rPr>
      <w:rFonts w:asciiTheme="majorHAnsi" w:eastAsiaTheme="majorEastAsia" w:hAnsiTheme="majorHAnsi" w:cstheme="majorBidi"/>
      <w:b/>
      <w:bCs/>
      <w:i/>
      <w:iCs/>
      <w:color w:val="17365D" w:themeColor="text2"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39192">
      <w:bodyDiv w:val="1"/>
      <w:marLeft w:val="0"/>
      <w:marRight w:val="0"/>
      <w:marTop w:val="0"/>
      <w:marBottom w:val="0"/>
      <w:divBdr>
        <w:top w:val="none" w:sz="0" w:space="0" w:color="auto"/>
        <w:left w:val="none" w:sz="0" w:space="0" w:color="auto"/>
        <w:bottom w:val="none" w:sz="0" w:space="0" w:color="auto"/>
        <w:right w:val="none" w:sz="0" w:space="0" w:color="auto"/>
      </w:divBdr>
    </w:div>
    <w:div w:id="116069182">
      <w:bodyDiv w:val="1"/>
      <w:marLeft w:val="0"/>
      <w:marRight w:val="0"/>
      <w:marTop w:val="0"/>
      <w:marBottom w:val="0"/>
      <w:divBdr>
        <w:top w:val="none" w:sz="0" w:space="0" w:color="auto"/>
        <w:left w:val="none" w:sz="0" w:space="0" w:color="auto"/>
        <w:bottom w:val="none" w:sz="0" w:space="0" w:color="auto"/>
        <w:right w:val="none" w:sz="0" w:space="0" w:color="auto"/>
      </w:divBdr>
    </w:div>
    <w:div w:id="238946384">
      <w:bodyDiv w:val="1"/>
      <w:marLeft w:val="0"/>
      <w:marRight w:val="0"/>
      <w:marTop w:val="0"/>
      <w:marBottom w:val="0"/>
      <w:divBdr>
        <w:top w:val="none" w:sz="0" w:space="0" w:color="auto"/>
        <w:left w:val="none" w:sz="0" w:space="0" w:color="auto"/>
        <w:bottom w:val="none" w:sz="0" w:space="0" w:color="auto"/>
        <w:right w:val="none" w:sz="0" w:space="0" w:color="auto"/>
      </w:divBdr>
    </w:div>
    <w:div w:id="294069958">
      <w:bodyDiv w:val="1"/>
      <w:marLeft w:val="0"/>
      <w:marRight w:val="0"/>
      <w:marTop w:val="0"/>
      <w:marBottom w:val="0"/>
      <w:divBdr>
        <w:top w:val="none" w:sz="0" w:space="0" w:color="auto"/>
        <w:left w:val="none" w:sz="0" w:space="0" w:color="auto"/>
        <w:bottom w:val="none" w:sz="0" w:space="0" w:color="auto"/>
        <w:right w:val="none" w:sz="0" w:space="0" w:color="auto"/>
      </w:divBdr>
    </w:div>
    <w:div w:id="325518261">
      <w:bodyDiv w:val="1"/>
      <w:marLeft w:val="0"/>
      <w:marRight w:val="0"/>
      <w:marTop w:val="0"/>
      <w:marBottom w:val="0"/>
      <w:divBdr>
        <w:top w:val="none" w:sz="0" w:space="0" w:color="auto"/>
        <w:left w:val="none" w:sz="0" w:space="0" w:color="auto"/>
        <w:bottom w:val="none" w:sz="0" w:space="0" w:color="auto"/>
        <w:right w:val="none" w:sz="0" w:space="0" w:color="auto"/>
      </w:divBdr>
    </w:div>
    <w:div w:id="419253382">
      <w:bodyDiv w:val="1"/>
      <w:marLeft w:val="0"/>
      <w:marRight w:val="0"/>
      <w:marTop w:val="0"/>
      <w:marBottom w:val="0"/>
      <w:divBdr>
        <w:top w:val="none" w:sz="0" w:space="0" w:color="auto"/>
        <w:left w:val="none" w:sz="0" w:space="0" w:color="auto"/>
        <w:bottom w:val="none" w:sz="0" w:space="0" w:color="auto"/>
        <w:right w:val="none" w:sz="0" w:space="0" w:color="auto"/>
      </w:divBdr>
    </w:div>
    <w:div w:id="487408010">
      <w:bodyDiv w:val="1"/>
      <w:marLeft w:val="0"/>
      <w:marRight w:val="0"/>
      <w:marTop w:val="0"/>
      <w:marBottom w:val="0"/>
      <w:divBdr>
        <w:top w:val="none" w:sz="0" w:space="0" w:color="auto"/>
        <w:left w:val="none" w:sz="0" w:space="0" w:color="auto"/>
        <w:bottom w:val="none" w:sz="0" w:space="0" w:color="auto"/>
        <w:right w:val="none" w:sz="0" w:space="0" w:color="auto"/>
      </w:divBdr>
    </w:div>
    <w:div w:id="493641988">
      <w:bodyDiv w:val="1"/>
      <w:marLeft w:val="0"/>
      <w:marRight w:val="0"/>
      <w:marTop w:val="0"/>
      <w:marBottom w:val="0"/>
      <w:divBdr>
        <w:top w:val="none" w:sz="0" w:space="0" w:color="auto"/>
        <w:left w:val="none" w:sz="0" w:space="0" w:color="auto"/>
        <w:bottom w:val="none" w:sz="0" w:space="0" w:color="auto"/>
        <w:right w:val="none" w:sz="0" w:space="0" w:color="auto"/>
      </w:divBdr>
    </w:div>
    <w:div w:id="526451844">
      <w:bodyDiv w:val="1"/>
      <w:marLeft w:val="0"/>
      <w:marRight w:val="0"/>
      <w:marTop w:val="0"/>
      <w:marBottom w:val="0"/>
      <w:divBdr>
        <w:top w:val="none" w:sz="0" w:space="0" w:color="auto"/>
        <w:left w:val="none" w:sz="0" w:space="0" w:color="auto"/>
        <w:bottom w:val="none" w:sz="0" w:space="0" w:color="auto"/>
        <w:right w:val="none" w:sz="0" w:space="0" w:color="auto"/>
      </w:divBdr>
    </w:div>
    <w:div w:id="528836733">
      <w:bodyDiv w:val="1"/>
      <w:marLeft w:val="0"/>
      <w:marRight w:val="0"/>
      <w:marTop w:val="0"/>
      <w:marBottom w:val="0"/>
      <w:divBdr>
        <w:top w:val="none" w:sz="0" w:space="0" w:color="auto"/>
        <w:left w:val="none" w:sz="0" w:space="0" w:color="auto"/>
        <w:bottom w:val="none" w:sz="0" w:space="0" w:color="auto"/>
        <w:right w:val="none" w:sz="0" w:space="0" w:color="auto"/>
      </w:divBdr>
    </w:div>
    <w:div w:id="550461189">
      <w:bodyDiv w:val="1"/>
      <w:marLeft w:val="0"/>
      <w:marRight w:val="0"/>
      <w:marTop w:val="0"/>
      <w:marBottom w:val="0"/>
      <w:divBdr>
        <w:top w:val="none" w:sz="0" w:space="0" w:color="auto"/>
        <w:left w:val="none" w:sz="0" w:space="0" w:color="auto"/>
        <w:bottom w:val="none" w:sz="0" w:space="0" w:color="auto"/>
        <w:right w:val="none" w:sz="0" w:space="0" w:color="auto"/>
      </w:divBdr>
    </w:div>
    <w:div w:id="635258609">
      <w:bodyDiv w:val="1"/>
      <w:marLeft w:val="0"/>
      <w:marRight w:val="0"/>
      <w:marTop w:val="0"/>
      <w:marBottom w:val="0"/>
      <w:divBdr>
        <w:top w:val="none" w:sz="0" w:space="0" w:color="auto"/>
        <w:left w:val="none" w:sz="0" w:space="0" w:color="auto"/>
        <w:bottom w:val="none" w:sz="0" w:space="0" w:color="auto"/>
        <w:right w:val="none" w:sz="0" w:space="0" w:color="auto"/>
      </w:divBdr>
      <w:divsChild>
        <w:div w:id="1221675378">
          <w:marLeft w:val="0"/>
          <w:marRight w:val="0"/>
          <w:marTop w:val="0"/>
          <w:marBottom w:val="0"/>
          <w:divBdr>
            <w:top w:val="none" w:sz="0" w:space="0" w:color="auto"/>
            <w:left w:val="none" w:sz="0" w:space="0" w:color="auto"/>
            <w:bottom w:val="none" w:sz="0" w:space="0" w:color="auto"/>
            <w:right w:val="none" w:sz="0" w:space="0" w:color="auto"/>
          </w:divBdr>
          <w:divsChild>
            <w:div w:id="270088328">
              <w:marLeft w:val="0"/>
              <w:marRight w:val="0"/>
              <w:marTop w:val="0"/>
              <w:marBottom w:val="0"/>
              <w:divBdr>
                <w:top w:val="none" w:sz="0" w:space="0" w:color="auto"/>
                <w:left w:val="none" w:sz="0" w:space="0" w:color="auto"/>
                <w:bottom w:val="none" w:sz="0" w:space="0" w:color="auto"/>
                <w:right w:val="none" w:sz="0" w:space="0" w:color="auto"/>
              </w:divBdr>
              <w:divsChild>
                <w:div w:id="231355289">
                  <w:marLeft w:val="0"/>
                  <w:marRight w:val="0"/>
                  <w:marTop w:val="0"/>
                  <w:marBottom w:val="0"/>
                  <w:divBdr>
                    <w:top w:val="none" w:sz="0" w:space="0" w:color="auto"/>
                    <w:left w:val="none" w:sz="0" w:space="0" w:color="auto"/>
                    <w:bottom w:val="none" w:sz="0" w:space="0" w:color="auto"/>
                    <w:right w:val="none" w:sz="0" w:space="0" w:color="auto"/>
                  </w:divBdr>
                  <w:divsChild>
                    <w:div w:id="403340841">
                      <w:marLeft w:val="0"/>
                      <w:marRight w:val="0"/>
                      <w:marTop w:val="0"/>
                      <w:marBottom w:val="0"/>
                      <w:divBdr>
                        <w:top w:val="none" w:sz="0" w:space="0" w:color="auto"/>
                        <w:left w:val="none" w:sz="0" w:space="0" w:color="auto"/>
                        <w:bottom w:val="none" w:sz="0" w:space="0" w:color="auto"/>
                        <w:right w:val="none" w:sz="0" w:space="0" w:color="auto"/>
                      </w:divBdr>
                      <w:divsChild>
                        <w:div w:id="800001321">
                          <w:marLeft w:val="0"/>
                          <w:marRight w:val="0"/>
                          <w:marTop w:val="0"/>
                          <w:marBottom w:val="0"/>
                          <w:divBdr>
                            <w:top w:val="none" w:sz="0" w:space="0" w:color="auto"/>
                            <w:left w:val="none" w:sz="0" w:space="0" w:color="auto"/>
                            <w:bottom w:val="none" w:sz="0" w:space="0" w:color="auto"/>
                            <w:right w:val="none" w:sz="0" w:space="0" w:color="auto"/>
                          </w:divBdr>
                          <w:divsChild>
                            <w:div w:id="962230498">
                              <w:marLeft w:val="0"/>
                              <w:marRight w:val="0"/>
                              <w:marTop w:val="0"/>
                              <w:marBottom w:val="0"/>
                              <w:divBdr>
                                <w:top w:val="none" w:sz="0" w:space="0" w:color="auto"/>
                                <w:left w:val="none" w:sz="0" w:space="0" w:color="auto"/>
                                <w:bottom w:val="none" w:sz="0" w:space="0" w:color="auto"/>
                                <w:right w:val="none" w:sz="0" w:space="0" w:color="auto"/>
                              </w:divBdr>
                            </w:div>
                            <w:div w:id="722757222">
                              <w:marLeft w:val="0"/>
                              <w:marRight w:val="0"/>
                              <w:marTop w:val="0"/>
                              <w:marBottom w:val="0"/>
                              <w:divBdr>
                                <w:top w:val="none" w:sz="0" w:space="0" w:color="auto"/>
                                <w:left w:val="none" w:sz="0" w:space="0" w:color="auto"/>
                                <w:bottom w:val="none" w:sz="0" w:space="0" w:color="auto"/>
                                <w:right w:val="none" w:sz="0" w:space="0" w:color="auto"/>
                              </w:divBdr>
                            </w:div>
                            <w:div w:id="107088742">
                              <w:marLeft w:val="0"/>
                              <w:marRight w:val="0"/>
                              <w:marTop w:val="0"/>
                              <w:marBottom w:val="0"/>
                              <w:divBdr>
                                <w:top w:val="none" w:sz="0" w:space="0" w:color="auto"/>
                                <w:left w:val="none" w:sz="0" w:space="0" w:color="auto"/>
                                <w:bottom w:val="none" w:sz="0" w:space="0" w:color="auto"/>
                                <w:right w:val="none" w:sz="0" w:space="0" w:color="auto"/>
                              </w:divBdr>
                            </w:div>
                            <w:div w:id="1181819477">
                              <w:marLeft w:val="0"/>
                              <w:marRight w:val="0"/>
                              <w:marTop w:val="0"/>
                              <w:marBottom w:val="0"/>
                              <w:divBdr>
                                <w:top w:val="none" w:sz="0" w:space="0" w:color="auto"/>
                                <w:left w:val="none" w:sz="0" w:space="0" w:color="auto"/>
                                <w:bottom w:val="none" w:sz="0" w:space="0" w:color="auto"/>
                                <w:right w:val="none" w:sz="0" w:space="0" w:color="auto"/>
                              </w:divBdr>
                            </w:div>
                          </w:divsChild>
                        </w:div>
                        <w:div w:id="213272945">
                          <w:marLeft w:val="0"/>
                          <w:marRight w:val="0"/>
                          <w:marTop w:val="0"/>
                          <w:marBottom w:val="0"/>
                          <w:divBdr>
                            <w:top w:val="none" w:sz="0" w:space="0" w:color="auto"/>
                            <w:left w:val="none" w:sz="0" w:space="0" w:color="auto"/>
                            <w:bottom w:val="none" w:sz="0" w:space="0" w:color="auto"/>
                            <w:right w:val="none" w:sz="0" w:space="0" w:color="auto"/>
                          </w:divBdr>
                          <w:divsChild>
                            <w:div w:id="2026783486">
                              <w:marLeft w:val="0"/>
                              <w:marRight w:val="0"/>
                              <w:marTop w:val="0"/>
                              <w:marBottom w:val="0"/>
                              <w:divBdr>
                                <w:top w:val="none" w:sz="0" w:space="0" w:color="auto"/>
                                <w:left w:val="none" w:sz="0" w:space="0" w:color="auto"/>
                                <w:bottom w:val="none" w:sz="0" w:space="0" w:color="auto"/>
                                <w:right w:val="none" w:sz="0" w:space="0" w:color="auto"/>
                              </w:divBdr>
                            </w:div>
                            <w:div w:id="571085406">
                              <w:marLeft w:val="0"/>
                              <w:marRight w:val="0"/>
                              <w:marTop w:val="0"/>
                              <w:marBottom w:val="0"/>
                              <w:divBdr>
                                <w:top w:val="none" w:sz="0" w:space="0" w:color="auto"/>
                                <w:left w:val="none" w:sz="0" w:space="0" w:color="auto"/>
                                <w:bottom w:val="none" w:sz="0" w:space="0" w:color="auto"/>
                                <w:right w:val="none" w:sz="0" w:space="0" w:color="auto"/>
                              </w:divBdr>
                            </w:div>
                            <w:div w:id="88987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235035">
      <w:bodyDiv w:val="1"/>
      <w:marLeft w:val="0"/>
      <w:marRight w:val="0"/>
      <w:marTop w:val="0"/>
      <w:marBottom w:val="0"/>
      <w:divBdr>
        <w:top w:val="none" w:sz="0" w:space="0" w:color="auto"/>
        <w:left w:val="none" w:sz="0" w:space="0" w:color="auto"/>
        <w:bottom w:val="none" w:sz="0" w:space="0" w:color="auto"/>
        <w:right w:val="none" w:sz="0" w:space="0" w:color="auto"/>
      </w:divBdr>
    </w:div>
    <w:div w:id="668096740">
      <w:bodyDiv w:val="1"/>
      <w:marLeft w:val="0"/>
      <w:marRight w:val="0"/>
      <w:marTop w:val="0"/>
      <w:marBottom w:val="0"/>
      <w:divBdr>
        <w:top w:val="none" w:sz="0" w:space="0" w:color="auto"/>
        <w:left w:val="none" w:sz="0" w:space="0" w:color="auto"/>
        <w:bottom w:val="none" w:sz="0" w:space="0" w:color="auto"/>
        <w:right w:val="none" w:sz="0" w:space="0" w:color="auto"/>
      </w:divBdr>
    </w:div>
    <w:div w:id="683482008">
      <w:bodyDiv w:val="1"/>
      <w:marLeft w:val="0"/>
      <w:marRight w:val="0"/>
      <w:marTop w:val="0"/>
      <w:marBottom w:val="0"/>
      <w:divBdr>
        <w:top w:val="none" w:sz="0" w:space="0" w:color="auto"/>
        <w:left w:val="none" w:sz="0" w:space="0" w:color="auto"/>
        <w:bottom w:val="none" w:sz="0" w:space="0" w:color="auto"/>
        <w:right w:val="none" w:sz="0" w:space="0" w:color="auto"/>
      </w:divBdr>
    </w:div>
    <w:div w:id="710345085">
      <w:bodyDiv w:val="1"/>
      <w:marLeft w:val="0"/>
      <w:marRight w:val="0"/>
      <w:marTop w:val="0"/>
      <w:marBottom w:val="0"/>
      <w:divBdr>
        <w:top w:val="none" w:sz="0" w:space="0" w:color="auto"/>
        <w:left w:val="none" w:sz="0" w:space="0" w:color="auto"/>
        <w:bottom w:val="none" w:sz="0" w:space="0" w:color="auto"/>
        <w:right w:val="none" w:sz="0" w:space="0" w:color="auto"/>
      </w:divBdr>
    </w:div>
    <w:div w:id="711000736">
      <w:bodyDiv w:val="1"/>
      <w:marLeft w:val="0"/>
      <w:marRight w:val="0"/>
      <w:marTop w:val="0"/>
      <w:marBottom w:val="0"/>
      <w:divBdr>
        <w:top w:val="none" w:sz="0" w:space="0" w:color="auto"/>
        <w:left w:val="none" w:sz="0" w:space="0" w:color="auto"/>
        <w:bottom w:val="none" w:sz="0" w:space="0" w:color="auto"/>
        <w:right w:val="none" w:sz="0" w:space="0" w:color="auto"/>
      </w:divBdr>
    </w:div>
    <w:div w:id="743383100">
      <w:bodyDiv w:val="1"/>
      <w:marLeft w:val="0"/>
      <w:marRight w:val="0"/>
      <w:marTop w:val="0"/>
      <w:marBottom w:val="0"/>
      <w:divBdr>
        <w:top w:val="none" w:sz="0" w:space="0" w:color="auto"/>
        <w:left w:val="none" w:sz="0" w:space="0" w:color="auto"/>
        <w:bottom w:val="none" w:sz="0" w:space="0" w:color="auto"/>
        <w:right w:val="none" w:sz="0" w:space="0" w:color="auto"/>
      </w:divBdr>
    </w:div>
    <w:div w:id="752820144">
      <w:bodyDiv w:val="1"/>
      <w:marLeft w:val="0"/>
      <w:marRight w:val="0"/>
      <w:marTop w:val="0"/>
      <w:marBottom w:val="0"/>
      <w:divBdr>
        <w:top w:val="none" w:sz="0" w:space="0" w:color="auto"/>
        <w:left w:val="none" w:sz="0" w:space="0" w:color="auto"/>
        <w:bottom w:val="none" w:sz="0" w:space="0" w:color="auto"/>
        <w:right w:val="none" w:sz="0" w:space="0" w:color="auto"/>
      </w:divBdr>
    </w:div>
    <w:div w:id="781001764">
      <w:bodyDiv w:val="1"/>
      <w:marLeft w:val="0"/>
      <w:marRight w:val="0"/>
      <w:marTop w:val="0"/>
      <w:marBottom w:val="0"/>
      <w:divBdr>
        <w:top w:val="none" w:sz="0" w:space="0" w:color="auto"/>
        <w:left w:val="none" w:sz="0" w:space="0" w:color="auto"/>
        <w:bottom w:val="none" w:sz="0" w:space="0" w:color="auto"/>
        <w:right w:val="none" w:sz="0" w:space="0" w:color="auto"/>
      </w:divBdr>
    </w:div>
    <w:div w:id="831141093">
      <w:bodyDiv w:val="1"/>
      <w:marLeft w:val="0"/>
      <w:marRight w:val="0"/>
      <w:marTop w:val="0"/>
      <w:marBottom w:val="0"/>
      <w:divBdr>
        <w:top w:val="none" w:sz="0" w:space="0" w:color="auto"/>
        <w:left w:val="none" w:sz="0" w:space="0" w:color="auto"/>
        <w:bottom w:val="none" w:sz="0" w:space="0" w:color="auto"/>
        <w:right w:val="none" w:sz="0" w:space="0" w:color="auto"/>
      </w:divBdr>
    </w:div>
    <w:div w:id="893583935">
      <w:bodyDiv w:val="1"/>
      <w:marLeft w:val="0"/>
      <w:marRight w:val="0"/>
      <w:marTop w:val="0"/>
      <w:marBottom w:val="0"/>
      <w:divBdr>
        <w:top w:val="none" w:sz="0" w:space="0" w:color="auto"/>
        <w:left w:val="none" w:sz="0" w:space="0" w:color="auto"/>
        <w:bottom w:val="none" w:sz="0" w:space="0" w:color="auto"/>
        <w:right w:val="none" w:sz="0" w:space="0" w:color="auto"/>
      </w:divBdr>
    </w:div>
    <w:div w:id="914896734">
      <w:bodyDiv w:val="1"/>
      <w:marLeft w:val="0"/>
      <w:marRight w:val="0"/>
      <w:marTop w:val="0"/>
      <w:marBottom w:val="0"/>
      <w:divBdr>
        <w:top w:val="none" w:sz="0" w:space="0" w:color="auto"/>
        <w:left w:val="none" w:sz="0" w:space="0" w:color="auto"/>
        <w:bottom w:val="none" w:sz="0" w:space="0" w:color="auto"/>
        <w:right w:val="none" w:sz="0" w:space="0" w:color="auto"/>
      </w:divBdr>
    </w:div>
    <w:div w:id="966204164">
      <w:bodyDiv w:val="1"/>
      <w:marLeft w:val="0"/>
      <w:marRight w:val="0"/>
      <w:marTop w:val="0"/>
      <w:marBottom w:val="0"/>
      <w:divBdr>
        <w:top w:val="none" w:sz="0" w:space="0" w:color="auto"/>
        <w:left w:val="none" w:sz="0" w:space="0" w:color="auto"/>
        <w:bottom w:val="none" w:sz="0" w:space="0" w:color="auto"/>
        <w:right w:val="none" w:sz="0" w:space="0" w:color="auto"/>
      </w:divBdr>
    </w:div>
    <w:div w:id="966667107">
      <w:bodyDiv w:val="1"/>
      <w:marLeft w:val="0"/>
      <w:marRight w:val="0"/>
      <w:marTop w:val="0"/>
      <w:marBottom w:val="0"/>
      <w:divBdr>
        <w:top w:val="none" w:sz="0" w:space="0" w:color="auto"/>
        <w:left w:val="none" w:sz="0" w:space="0" w:color="auto"/>
        <w:bottom w:val="none" w:sz="0" w:space="0" w:color="auto"/>
        <w:right w:val="none" w:sz="0" w:space="0" w:color="auto"/>
      </w:divBdr>
    </w:div>
    <w:div w:id="975573171">
      <w:bodyDiv w:val="1"/>
      <w:marLeft w:val="0"/>
      <w:marRight w:val="0"/>
      <w:marTop w:val="0"/>
      <w:marBottom w:val="0"/>
      <w:divBdr>
        <w:top w:val="none" w:sz="0" w:space="0" w:color="auto"/>
        <w:left w:val="none" w:sz="0" w:space="0" w:color="auto"/>
        <w:bottom w:val="none" w:sz="0" w:space="0" w:color="auto"/>
        <w:right w:val="none" w:sz="0" w:space="0" w:color="auto"/>
      </w:divBdr>
    </w:div>
    <w:div w:id="979186079">
      <w:bodyDiv w:val="1"/>
      <w:marLeft w:val="0"/>
      <w:marRight w:val="0"/>
      <w:marTop w:val="0"/>
      <w:marBottom w:val="0"/>
      <w:divBdr>
        <w:top w:val="none" w:sz="0" w:space="0" w:color="auto"/>
        <w:left w:val="none" w:sz="0" w:space="0" w:color="auto"/>
        <w:bottom w:val="none" w:sz="0" w:space="0" w:color="auto"/>
        <w:right w:val="none" w:sz="0" w:space="0" w:color="auto"/>
      </w:divBdr>
    </w:div>
    <w:div w:id="1008171257">
      <w:bodyDiv w:val="1"/>
      <w:marLeft w:val="0"/>
      <w:marRight w:val="0"/>
      <w:marTop w:val="0"/>
      <w:marBottom w:val="0"/>
      <w:divBdr>
        <w:top w:val="none" w:sz="0" w:space="0" w:color="auto"/>
        <w:left w:val="none" w:sz="0" w:space="0" w:color="auto"/>
        <w:bottom w:val="none" w:sz="0" w:space="0" w:color="auto"/>
        <w:right w:val="none" w:sz="0" w:space="0" w:color="auto"/>
      </w:divBdr>
    </w:div>
    <w:div w:id="1015769417">
      <w:bodyDiv w:val="1"/>
      <w:marLeft w:val="0"/>
      <w:marRight w:val="0"/>
      <w:marTop w:val="0"/>
      <w:marBottom w:val="0"/>
      <w:divBdr>
        <w:top w:val="none" w:sz="0" w:space="0" w:color="auto"/>
        <w:left w:val="none" w:sz="0" w:space="0" w:color="auto"/>
        <w:bottom w:val="none" w:sz="0" w:space="0" w:color="auto"/>
        <w:right w:val="none" w:sz="0" w:space="0" w:color="auto"/>
      </w:divBdr>
    </w:div>
    <w:div w:id="1065105025">
      <w:bodyDiv w:val="1"/>
      <w:marLeft w:val="0"/>
      <w:marRight w:val="0"/>
      <w:marTop w:val="0"/>
      <w:marBottom w:val="0"/>
      <w:divBdr>
        <w:top w:val="none" w:sz="0" w:space="0" w:color="auto"/>
        <w:left w:val="none" w:sz="0" w:space="0" w:color="auto"/>
        <w:bottom w:val="none" w:sz="0" w:space="0" w:color="auto"/>
        <w:right w:val="none" w:sz="0" w:space="0" w:color="auto"/>
      </w:divBdr>
    </w:div>
    <w:div w:id="1150904722">
      <w:bodyDiv w:val="1"/>
      <w:marLeft w:val="0"/>
      <w:marRight w:val="0"/>
      <w:marTop w:val="0"/>
      <w:marBottom w:val="0"/>
      <w:divBdr>
        <w:top w:val="none" w:sz="0" w:space="0" w:color="auto"/>
        <w:left w:val="none" w:sz="0" w:space="0" w:color="auto"/>
        <w:bottom w:val="none" w:sz="0" w:space="0" w:color="auto"/>
        <w:right w:val="none" w:sz="0" w:space="0" w:color="auto"/>
      </w:divBdr>
    </w:div>
    <w:div w:id="1197698913">
      <w:bodyDiv w:val="1"/>
      <w:marLeft w:val="0"/>
      <w:marRight w:val="0"/>
      <w:marTop w:val="0"/>
      <w:marBottom w:val="0"/>
      <w:divBdr>
        <w:top w:val="none" w:sz="0" w:space="0" w:color="auto"/>
        <w:left w:val="none" w:sz="0" w:space="0" w:color="auto"/>
        <w:bottom w:val="none" w:sz="0" w:space="0" w:color="auto"/>
        <w:right w:val="none" w:sz="0" w:space="0" w:color="auto"/>
      </w:divBdr>
    </w:div>
    <w:div w:id="1379554290">
      <w:bodyDiv w:val="1"/>
      <w:marLeft w:val="0"/>
      <w:marRight w:val="0"/>
      <w:marTop w:val="0"/>
      <w:marBottom w:val="0"/>
      <w:divBdr>
        <w:top w:val="none" w:sz="0" w:space="0" w:color="auto"/>
        <w:left w:val="none" w:sz="0" w:space="0" w:color="auto"/>
        <w:bottom w:val="none" w:sz="0" w:space="0" w:color="auto"/>
        <w:right w:val="none" w:sz="0" w:space="0" w:color="auto"/>
      </w:divBdr>
    </w:div>
    <w:div w:id="1426225313">
      <w:bodyDiv w:val="1"/>
      <w:marLeft w:val="0"/>
      <w:marRight w:val="0"/>
      <w:marTop w:val="0"/>
      <w:marBottom w:val="0"/>
      <w:divBdr>
        <w:top w:val="none" w:sz="0" w:space="0" w:color="auto"/>
        <w:left w:val="none" w:sz="0" w:space="0" w:color="auto"/>
        <w:bottom w:val="none" w:sz="0" w:space="0" w:color="auto"/>
        <w:right w:val="none" w:sz="0" w:space="0" w:color="auto"/>
      </w:divBdr>
    </w:div>
    <w:div w:id="1439256609">
      <w:bodyDiv w:val="1"/>
      <w:marLeft w:val="0"/>
      <w:marRight w:val="0"/>
      <w:marTop w:val="0"/>
      <w:marBottom w:val="0"/>
      <w:divBdr>
        <w:top w:val="none" w:sz="0" w:space="0" w:color="auto"/>
        <w:left w:val="none" w:sz="0" w:space="0" w:color="auto"/>
        <w:bottom w:val="none" w:sz="0" w:space="0" w:color="auto"/>
        <w:right w:val="none" w:sz="0" w:space="0" w:color="auto"/>
      </w:divBdr>
    </w:div>
    <w:div w:id="1540702876">
      <w:bodyDiv w:val="1"/>
      <w:marLeft w:val="0"/>
      <w:marRight w:val="0"/>
      <w:marTop w:val="0"/>
      <w:marBottom w:val="0"/>
      <w:divBdr>
        <w:top w:val="none" w:sz="0" w:space="0" w:color="auto"/>
        <w:left w:val="none" w:sz="0" w:space="0" w:color="auto"/>
        <w:bottom w:val="none" w:sz="0" w:space="0" w:color="auto"/>
        <w:right w:val="none" w:sz="0" w:space="0" w:color="auto"/>
      </w:divBdr>
      <w:divsChild>
        <w:div w:id="1137140058">
          <w:marLeft w:val="0"/>
          <w:marRight w:val="0"/>
          <w:marTop w:val="0"/>
          <w:marBottom w:val="0"/>
          <w:divBdr>
            <w:top w:val="none" w:sz="0" w:space="0" w:color="auto"/>
            <w:left w:val="none" w:sz="0" w:space="0" w:color="auto"/>
            <w:bottom w:val="none" w:sz="0" w:space="0" w:color="auto"/>
            <w:right w:val="none" w:sz="0" w:space="0" w:color="auto"/>
          </w:divBdr>
          <w:divsChild>
            <w:div w:id="1454597716">
              <w:marLeft w:val="0"/>
              <w:marRight w:val="0"/>
              <w:marTop w:val="0"/>
              <w:marBottom w:val="0"/>
              <w:divBdr>
                <w:top w:val="none" w:sz="0" w:space="0" w:color="auto"/>
                <w:left w:val="none" w:sz="0" w:space="0" w:color="auto"/>
                <w:bottom w:val="none" w:sz="0" w:space="0" w:color="auto"/>
                <w:right w:val="none" w:sz="0" w:space="0" w:color="auto"/>
              </w:divBdr>
              <w:divsChild>
                <w:div w:id="247153327">
                  <w:marLeft w:val="0"/>
                  <w:marRight w:val="0"/>
                  <w:marTop w:val="0"/>
                  <w:marBottom w:val="0"/>
                  <w:divBdr>
                    <w:top w:val="none" w:sz="0" w:space="0" w:color="auto"/>
                    <w:left w:val="none" w:sz="0" w:space="0" w:color="auto"/>
                    <w:bottom w:val="none" w:sz="0" w:space="0" w:color="auto"/>
                    <w:right w:val="none" w:sz="0" w:space="0" w:color="auto"/>
                  </w:divBdr>
                  <w:divsChild>
                    <w:div w:id="1995717039">
                      <w:marLeft w:val="0"/>
                      <w:marRight w:val="0"/>
                      <w:marTop w:val="150"/>
                      <w:marBottom w:val="0"/>
                      <w:divBdr>
                        <w:top w:val="none" w:sz="0" w:space="0" w:color="auto"/>
                        <w:left w:val="none" w:sz="0" w:space="0" w:color="auto"/>
                        <w:bottom w:val="none" w:sz="0" w:space="0" w:color="auto"/>
                        <w:right w:val="none" w:sz="0" w:space="0" w:color="auto"/>
                      </w:divBdr>
                      <w:divsChild>
                        <w:div w:id="1292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677321">
      <w:bodyDiv w:val="1"/>
      <w:marLeft w:val="0"/>
      <w:marRight w:val="0"/>
      <w:marTop w:val="0"/>
      <w:marBottom w:val="0"/>
      <w:divBdr>
        <w:top w:val="none" w:sz="0" w:space="0" w:color="auto"/>
        <w:left w:val="none" w:sz="0" w:space="0" w:color="auto"/>
        <w:bottom w:val="none" w:sz="0" w:space="0" w:color="auto"/>
        <w:right w:val="none" w:sz="0" w:space="0" w:color="auto"/>
      </w:divBdr>
    </w:div>
    <w:div w:id="1752509530">
      <w:bodyDiv w:val="1"/>
      <w:marLeft w:val="0"/>
      <w:marRight w:val="0"/>
      <w:marTop w:val="0"/>
      <w:marBottom w:val="0"/>
      <w:divBdr>
        <w:top w:val="none" w:sz="0" w:space="0" w:color="auto"/>
        <w:left w:val="none" w:sz="0" w:space="0" w:color="auto"/>
        <w:bottom w:val="none" w:sz="0" w:space="0" w:color="auto"/>
        <w:right w:val="none" w:sz="0" w:space="0" w:color="auto"/>
      </w:divBdr>
    </w:div>
    <w:div w:id="1760710543">
      <w:bodyDiv w:val="1"/>
      <w:marLeft w:val="0"/>
      <w:marRight w:val="0"/>
      <w:marTop w:val="0"/>
      <w:marBottom w:val="0"/>
      <w:divBdr>
        <w:top w:val="none" w:sz="0" w:space="0" w:color="auto"/>
        <w:left w:val="none" w:sz="0" w:space="0" w:color="auto"/>
        <w:bottom w:val="none" w:sz="0" w:space="0" w:color="auto"/>
        <w:right w:val="none" w:sz="0" w:space="0" w:color="auto"/>
      </w:divBdr>
    </w:div>
    <w:div w:id="1761752457">
      <w:bodyDiv w:val="1"/>
      <w:marLeft w:val="0"/>
      <w:marRight w:val="0"/>
      <w:marTop w:val="0"/>
      <w:marBottom w:val="0"/>
      <w:divBdr>
        <w:top w:val="none" w:sz="0" w:space="0" w:color="auto"/>
        <w:left w:val="none" w:sz="0" w:space="0" w:color="auto"/>
        <w:bottom w:val="none" w:sz="0" w:space="0" w:color="auto"/>
        <w:right w:val="none" w:sz="0" w:space="0" w:color="auto"/>
      </w:divBdr>
    </w:div>
    <w:div w:id="1772042015">
      <w:bodyDiv w:val="1"/>
      <w:marLeft w:val="0"/>
      <w:marRight w:val="0"/>
      <w:marTop w:val="0"/>
      <w:marBottom w:val="0"/>
      <w:divBdr>
        <w:top w:val="none" w:sz="0" w:space="0" w:color="auto"/>
        <w:left w:val="none" w:sz="0" w:space="0" w:color="auto"/>
        <w:bottom w:val="none" w:sz="0" w:space="0" w:color="auto"/>
        <w:right w:val="none" w:sz="0" w:space="0" w:color="auto"/>
      </w:divBdr>
    </w:div>
    <w:div w:id="1846090677">
      <w:bodyDiv w:val="1"/>
      <w:marLeft w:val="0"/>
      <w:marRight w:val="0"/>
      <w:marTop w:val="0"/>
      <w:marBottom w:val="0"/>
      <w:divBdr>
        <w:top w:val="none" w:sz="0" w:space="0" w:color="auto"/>
        <w:left w:val="none" w:sz="0" w:space="0" w:color="auto"/>
        <w:bottom w:val="none" w:sz="0" w:space="0" w:color="auto"/>
        <w:right w:val="none" w:sz="0" w:space="0" w:color="auto"/>
      </w:divBdr>
    </w:div>
    <w:div w:id="1886600772">
      <w:bodyDiv w:val="1"/>
      <w:marLeft w:val="0"/>
      <w:marRight w:val="0"/>
      <w:marTop w:val="0"/>
      <w:marBottom w:val="0"/>
      <w:divBdr>
        <w:top w:val="none" w:sz="0" w:space="0" w:color="auto"/>
        <w:left w:val="none" w:sz="0" w:space="0" w:color="auto"/>
        <w:bottom w:val="none" w:sz="0" w:space="0" w:color="auto"/>
        <w:right w:val="none" w:sz="0" w:space="0" w:color="auto"/>
      </w:divBdr>
    </w:div>
    <w:div w:id="1944075127">
      <w:bodyDiv w:val="1"/>
      <w:marLeft w:val="0"/>
      <w:marRight w:val="0"/>
      <w:marTop w:val="0"/>
      <w:marBottom w:val="0"/>
      <w:divBdr>
        <w:top w:val="none" w:sz="0" w:space="0" w:color="auto"/>
        <w:left w:val="none" w:sz="0" w:space="0" w:color="auto"/>
        <w:bottom w:val="none" w:sz="0" w:space="0" w:color="auto"/>
        <w:right w:val="none" w:sz="0" w:space="0" w:color="auto"/>
      </w:divBdr>
    </w:div>
    <w:div w:id="1974016169">
      <w:bodyDiv w:val="1"/>
      <w:marLeft w:val="0"/>
      <w:marRight w:val="0"/>
      <w:marTop w:val="0"/>
      <w:marBottom w:val="0"/>
      <w:divBdr>
        <w:top w:val="none" w:sz="0" w:space="0" w:color="auto"/>
        <w:left w:val="none" w:sz="0" w:space="0" w:color="auto"/>
        <w:bottom w:val="none" w:sz="0" w:space="0" w:color="auto"/>
        <w:right w:val="none" w:sz="0" w:space="0" w:color="auto"/>
      </w:divBdr>
    </w:div>
    <w:div w:id="1990013084">
      <w:bodyDiv w:val="1"/>
      <w:marLeft w:val="0"/>
      <w:marRight w:val="0"/>
      <w:marTop w:val="0"/>
      <w:marBottom w:val="0"/>
      <w:divBdr>
        <w:top w:val="none" w:sz="0" w:space="0" w:color="auto"/>
        <w:left w:val="none" w:sz="0" w:space="0" w:color="auto"/>
        <w:bottom w:val="none" w:sz="0" w:space="0" w:color="auto"/>
        <w:right w:val="none" w:sz="0" w:space="0" w:color="auto"/>
      </w:divBdr>
    </w:div>
    <w:div w:id="2004238089">
      <w:bodyDiv w:val="1"/>
      <w:marLeft w:val="0"/>
      <w:marRight w:val="0"/>
      <w:marTop w:val="0"/>
      <w:marBottom w:val="0"/>
      <w:divBdr>
        <w:top w:val="none" w:sz="0" w:space="0" w:color="auto"/>
        <w:left w:val="none" w:sz="0" w:space="0" w:color="auto"/>
        <w:bottom w:val="none" w:sz="0" w:space="0" w:color="auto"/>
        <w:right w:val="none" w:sz="0" w:space="0" w:color="auto"/>
      </w:divBdr>
    </w:div>
    <w:div w:id="205535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obyvatelstvo!$P$2</c:f>
              <c:strCache>
                <c:ptCount val="1"/>
                <c:pt idx="0">
                  <c:v>Zásada (meziroční vývoj)</c:v>
                </c:pt>
              </c:strCache>
            </c:strRef>
          </c:tx>
          <c:spPr>
            <a:effectLst>
              <a:outerShdw blurRad="50800" dist="38100" dir="2700000" algn="tl" rotWithShape="0">
                <a:prstClr val="black">
                  <a:alpha val="40000"/>
                </a:prstClr>
              </a:outerShdw>
            </a:effectLst>
          </c:spPr>
          <c:marker>
            <c:symbol val="none"/>
          </c:marker>
          <c:cat>
            <c:numRef>
              <c:f>obyvatelstvo!$N$3:$N$12</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obyvatelstvo!$P$3:$P$12</c:f>
              <c:numCache>
                <c:formatCode>General</c:formatCode>
                <c:ptCount val="10"/>
                <c:pt idx="0">
                  <c:v>100</c:v>
                </c:pt>
                <c:pt idx="1">
                  <c:v>98.31460674157303</c:v>
                </c:pt>
                <c:pt idx="2">
                  <c:v>101.14285714285714</c:v>
                </c:pt>
                <c:pt idx="3">
                  <c:v>100.56497175141243</c:v>
                </c:pt>
                <c:pt idx="4">
                  <c:v>100.3370786516854</c:v>
                </c:pt>
                <c:pt idx="5">
                  <c:v>100.5599104143337</c:v>
                </c:pt>
                <c:pt idx="6">
                  <c:v>98.997772828507792</c:v>
                </c:pt>
                <c:pt idx="7">
                  <c:v>100.22497187851518</c:v>
                </c:pt>
                <c:pt idx="8">
                  <c:v>99.326599326599336</c:v>
                </c:pt>
                <c:pt idx="9">
                  <c:v>101.12994350282484</c:v>
                </c:pt>
              </c:numCache>
            </c:numRef>
          </c:val>
          <c:smooth val="0"/>
        </c:ser>
        <c:ser>
          <c:idx val="1"/>
          <c:order val="1"/>
          <c:tx>
            <c:strRef>
              <c:f>obyvatelstvo!$R$2</c:f>
              <c:strCache>
                <c:ptCount val="1"/>
                <c:pt idx="0">
                  <c:v>SO ORP Železný Brod (meziroční vývoj)</c:v>
                </c:pt>
              </c:strCache>
            </c:strRef>
          </c:tx>
          <c:spPr>
            <a:effectLst>
              <a:outerShdw blurRad="50800" dist="38100" dir="2700000" algn="tl" rotWithShape="0">
                <a:prstClr val="black">
                  <a:alpha val="40000"/>
                </a:prstClr>
              </a:outerShdw>
            </a:effectLst>
          </c:spPr>
          <c:marker>
            <c:symbol val="none"/>
          </c:marker>
          <c:cat>
            <c:numRef>
              <c:f>obyvatelstvo!$N$3:$N$12</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obyvatelstvo!$R$3:$R$12</c:f>
              <c:numCache>
                <c:formatCode>General</c:formatCode>
                <c:ptCount val="10"/>
                <c:pt idx="0">
                  <c:v>100</c:v>
                </c:pt>
                <c:pt idx="1">
                  <c:v>100.42183824125902</c:v>
                </c:pt>
                <c:pt idx="2">
                  <c:v>100.16156393892884</c:v>
                </c:pt>
                <c:pt idx="3">
                  <c:v>99.395112509073314</c:v>
                </c:pt>
                <c:pt idx="4">
                  <c:v>99.780915287244397</c:v>
                </c:pt>
                <c:pt idx="5">
                  <c:v>99.747905993331713</c:v>
                </c:pt>
                <c:pt idx="6">
                  <c:v>99.119517365074188</c:v>
                </c:pt>
                <c:pt idx="7">
                  <c:v>99.30087185392334</c:v>
                </c:pt>
                <c:pt idx="8">
                  <c:v>100.42243021618486</c:v>
                </c:pt>
                <c:pt idx="9">
                  <c:v>100.54437479379743</c:v>
                </c:pt>
              </c:numCache>
            </c:numRef>
          </c:val>
          <c:smooth val="0"/>
        </c:ser>
        <c:ser>
          <c:idx val="2"/>
          <c:order val="2"/>
          <c:tx>
            <c:strRef>
              <c:f>obyvatelstvo!$S$2</c:f>
              <c:strCache>
                <c:ptCount val="1"/>
                <c:pt idx="0">
                  <c:v>Zásada (srovnání k roku 2008)</c:v>
                </c:pt>
              </c:strCache>
            </c:strRef>
          </c:tx>
          <c:spPr>
            <a:effectLst>
              <a:outerShdw blurRad="50800" dist="38100" dir="2700000" algn="tl" rotWithShape="0">
                <a:prstClr val="black">
                  <a:alpha val="40000"/>
                </a:prstClr>
              </a:outerShdw>
            </a:effectLst>
          </c:spPr>
          <c:marker>
            <c:symbol val="none"/>
          </c:marker>
          <c:cat>
            <c:numRef>
              <c:f>obyvatelstvo!$N$3:$N$12</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obyvatelstvo!$S$3:$S$12</c:f>
              <c:numCache>
                <c:formatCode>General</c:formatCode>
                <c:ptCount val="10"/>
                <c:pt idx="0">
                  <c:v>100</c:v>
                </c:pt>
                <c:pt idx="1">
                  <c:v>98.31460674157303</c:v>
                </c:pt>
                <c:pt idx="2">
                  <c:v>99.438202247191015</c:v>
                </c:pt>
                <c:pt idx="3">
                  <c:v>100</c:v>
                </c:pt>
                <c:pt idx="4">
                  <c:v>100.3370786516854</c:v>
                </c:pt>
                <c:pt idx="5">
                  <c:v>100.89887640449437</c:v>
                </c:pt>
                <c:pt idx="6">
                  <c:v>99.887640449438194</c:v>
                </c:pt>
                <c:pt idx="7">
                  <c:v>100.11235955056179</c:v>
                </c:pt>
                <c:pt idx="8">
                  <c:v>99.438202247191015</c:v>
                </c:pt>
                <c:pt idx="9">
                  <c:v>100.56179775280899</c:v>
                </c:pt>
              </c:numCache>
            </c:numRef>
          </c:val>
          <c:smooth val="0"/>
        </c:ser>
        <c:dLbls>
          <c:showLegendKey val="0"/>
          <c:showVal val="0"/>
          <c:showCatName val="0"/>
          <c:showSerName val="0"/>
          <c:showPercent val="0"/>
          <c:showBubbleSize val="0"/>
        </c:dLbls>
        <c:smooth val="0"/>
        <c:axId val="489021968"/>
        <c:axId val="489022752"/>
      </c:lineChart>
      <c:catAx>
        <c:axId val="489021968"/>
        <c:scaling>
          <c:orientation val="minMax"/>
        </c:scaling>
        <c:delete val="0"/>
        <c:axPos val="b"/>
        <c:numFmt formatCode="General" sourceLinked="1"/>
        <c:majorTickMark val="out"/>
        <c:minorTickMark val="none"/>
        <c:tickLblPos val="nextTo"/>
        <c:spPr>
          <a:noFill/>
          <a:ln w="9525" cap="flat" cmpd="sng" algn="ctr">
            <a:solidFill>
              <a:schemeClr val="tx2"/>
            </a:solidFill>
            <a:prstDash val="solid"/>
          </a:ln>
          <a:effectLst/>
        </c:spPr>
        <c:crossAx val="489022752"/>
        <c:crosses val="autoZero"/>
        <c:auto val="1"/>
        <c:lblAlgn val="ctr"/>
        <c:lblOffset val="100"/>
        <c:noMultiLvlLbl val="0"/>
      </c:catAx>
      <c:valAx>
        <c:axId val="489022752"/>
        <c:scaling>
          <c:orientation val="minMax"/>
          <c:max val="102"/>
          <c:min val="98"/>
        </c:scaling>
        <c:delete val="0"/>
        <c:axPos val="l"/>
        <c:majorGridlines>
          <c:spPr>
            <a:ln w="9525" cap="flat" cmpd="sng" algn="ctr">
              <a:solidFill>
                <a:schemeClr val="accent1"/>
              </a:solidFill>
              <a:prstDash val="solid"/>
            </a:ln>
            <a:effectLst/>
          </c:spPr>
        </c:majorGridlines>
        <c:title>
          <c:tx>
            <c:rich>
              <a:bodyPr rot="0" vert="horz"/>
              <a:lstStyle/>
              <a:p>
                <a:pPr>
                  <a:defRPr/>
                </a:pPr>
                <a:r>
                  <a:rPr lang="cs-CZ"/>
                  <a:t>%</a:t>
                </a:r>
              </a:p>
            </c:rich>
          </c:tx>
          <c:overlay val="0"/>
        </c:title>
        <c:numFmt formatCode="General" sourceLinked="1"/>
        <c:majorTickMark val="out"/>
        <c:minorTickMark val="none"/>
        <c:tickLblPos val="nextTo"/>
        <c:spPr>
          <a:noFill/>
          <a:ln w="9525" cap="flat" cmpd="sng" algn="ctr">
            <a:solidFill>
              <a:schemeClr val="tx2"/>
            </a:solidFill>
            <a:prstDash val="solid"/>
          </a:ln>
          <a:effectLst/>
        </c:spPr>
        <c:crossAx val="489021968"/>
        <c:crosses val="autoZero"/>
        <c:crossBetween val="between"/>
        <c:majorUnit val="1"/>
      </c:valAx>
    </c:plotArea>
    <c:legend>
      <c:legendPos val="b"/>
      <c:overlay val="0"/>
    </c:legend>
    <c:plotVisOnly val="1"/>
    <c:dispBlanksAs val="gap"/>
    <c:showDLblsOverMax val="0"/>
  </c:chart>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a:scene3d>
      <a:camera prst="orthographicFront"/>
      <a:lightRig rig="threePt" dir="t"/>
    </a:scene3d>
    <a:sp3d>
      <a:bevelT w="190500" h="38100"/>
    </a:sp3d>
  </c:spPr>
  <c:txPr>
    <a:bodyPr/>
    <a:lstStyle/>
    <a:p>
      <a:pPr>
        <a:defRPr>
          <a:solidFill>
            <a:schemeClr val="dk1"/>
          </a:solidFill>
          <a:latin typeface="Times New Roman" panose="02020603050405020304" pitchFamily="18" charset="0"/>
          <a:ea typeface="+mn-ea"/>
          <a:cs typeface="Times New Roman" panose="02020603050405020304" pitchFamily="18" charset="0"/>
        </a:defRPr>
      </a:pPr>
      <a:endParaRPr lang="cs-CZ"/>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4098904757397457E-2"/>
          <c:y val="8.7812668033167965E-2"/>
          <c:w val="0.89956594709070281"/>
          <c:h val="0.76807925707609148"/>
        </c:manualLayout>
      </c:layout>
      <c:lineChart>
        <c:grouping val="standard"/>
        <c:varyColors val="0"/>
        <c:ser>
          <c:idx val="0"/>
          <c:order val="0"/>
          <c:tx>
            <c:strRef>
              <c:f>obyvatelstvo!$I$12</c:f>
              <c:strCache>
                <c:ptCount val="1"/>
                <c:pt idx="0">
                  <c:v>Přírůstek celkový</c:v>
                </c:pt>
              </c:strCache>
            </c:strRef>
          </c:tx>
          <c:spPr>
            <a:effectLst>
              <a:outerShdw blurRad="50800" dist="38100" dir="2700000" algn="tl" rotWithShape="0">
                <a:prstClr val="black">
                  <a:alpha val="40000"/>
                </a:prstClr>
              </a:outerShdw>
            </a:effectLst>
          </c:spPr>
          <c:marker>
            <c:symbol val="none"/>
          </c:marker>
          <c:cat>
            <c:numRef>
              <c:f>obyvatelstvo!$B$13:$B$22</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obyvatelstvo!$I$13:$I$22</c:f>
              <c:numCache>
                <c:formatCode>General</c:formatCode>
                <c:ptCount val="10"/>
                <c:pt idx="0">
                  <c:v>17</c:v>
                </c:pt>
                <c:pt idx="1">
                  <c:v>-15</c:v>
                </c:pt>
                <c:pt idx="2">
                  <c:v>10</c:v>
                </c:pt>
                <c:pt idx="3">
                  <c:v>-2</c:v>
                </c:pt>
                <c:pt idx="4">
                  <c:v>3</c:v>
                </c:pt>
                <c:pt idx="5">
                  <c:v>5</c:v>
                </c:pt>
                <c:pt idx="6">
                  <c:v>-9</c:v>
                </c:pt>
                <c:pt idx="7">
                  <c:v>2</c:v>
                </c:pt>
                <c:pt idx="8">
                  <c:v>-6</c:v>
                </c:pt>
                <c:pt idx="9">
                  <c:v>10</c:v>
                </c:pt>
              </c:numCache>
            </c:numRef>
          </c:val>
          <c:smooth val="0"/>
        </c:ser>
        <c:ser>
          <c:idx val="1"/>
          <c:order val="1"/>
          <c:tx>
            <c:strRef>
              <c:f>obyvatelstvo!$H$12</c:f>
              <c:strCache>
                <c:ptCount val="1"/>
                <c:pt idx="0">
                  <c:v>Přírůstek migrační</c:v>
                </c:pt>
              </c:strCache>
            </c:strRef>
          </c:tx>
          <c:spPr>
            <a:effectLst>
              <a:outerShdw blurRad="50800" dist="38100" dir="2700000" algn="tl" rotWithShape="0">
                <a:prstClr val="black">
                  <a:alpha val="40000"/>
                </a:prstClr>
              </a:outerShdw>
            </a:effectLst>
          </c:spPr>
          <c:marker>
            <c:symbol val="none"/>
          </c:marker>
          <c:cat>
            <c:numRef>
              <c:f>obyvatelstvo!$B$13:$B$22</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obyvatelstvo!$H$13:$H$22</c:f>
              <c:numCache>
                <c:formatCode>General</c:formatCode>
                <c:ptCount val="10"/>
                <c:pt idx="0">
                  <c:v>8</c:v>
                </c:pt>
                <c:pt idx="1">
                  <c:v>-14</c:v>
                </c:pt>
                <c:pt idx="2">
                  <c:v>10</c:v>
                </c:pt>
                <c:pt idx="3">
                  <c:v>-6</c:v>
                </c:pt>
                <c:pt idx="4">
                  <c:v>4</c:v>
                </c:pt>
                <c:pt idx="5">
                  <c:v>1</c:v>
                </c:pt>
                <c:pt idx="6">
                  <c:v>-7</c:v>
                </c:pt>
                <c:pt idx="7">
                  <c:v>2</c:v>
                </c:pt>
                <c:pt idx="8">
                  <c:v>-4</c:v>
                </c:pt>
                <c:pt idx="9">
                  <c:v>10</c:v>
                </c:pt>
              </c:numCache>
            </c:numRef>
          </c:val>
          <c:smooth val="0"/>
        </c:ser>
        <c:ser>
          <c:idx val="2"/>
          <c:order val="2"/>
          <c:tx>
            <c:strRef>
              <c:f>obyvatelstvo!$G$12</c:f>
              <c:strCache>
                <c:ptCount val="1"/>
                <c:pt idx="0">
                  <c:v>Přírůstek přirozený</c:v>
                </c:pt>
              </c:strCache>
            </c:strRef>
          </c:tx>
          <c:spPr>
            <a:effectLst>
              <a:outerShdw blurRad="50800" dist="38100" dir="2700000" algn="tl" rotWithShape="0">
                <a:prstClr val="black">
                  <a:alpha val="40000"/>
                </a:prstClr>
              </a:outerShdw>
            </a:effectLst>
          </c:spPr>
          <c:marker>
            <c:symbol val="none"/>
          </c:marker>
          <c:cat>
            <c:numRef>
              <c:f>obyvatelstvo!$B$13:$B$22</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obyvatelstvo!$G$13:$G$22</c:f>
              <c:numCache>
                <c:formatCode>General</c:formatCode>
                <c:ptCount val="10"/>
                <c:pt idx="0">
                  <c:v>9</c:v>
                </c:pt>
                <c:pt idx="1">
                  <c:v>-1</c:v>
                </c:pt>
                <c:pt idx="2">
                  <c:v>0</c:v>
                </c:pt>
                <c:pt idx="3">
                  <c:v>4</c:v>
                </c:pt>
                <c:pt idx="4">
                  <c:v>-1</c:v>
                </c:pt>
                <c:pt idx="5">
                  <c:v>4</c:v>
                </c:pt>
                <c:pt idx="6">
                  <c:v>-2</c:v>
                </c:pt>
                <c:pt idx="7">
                  <c:v>0</c:v>
                </c:pt>
                <c:pt idx="8">
                  <c:v>-2</c:v>
                </c:pt>
                <c:pt idx="9">
                  <c:v>0</c:v>
                </c:pt>
              </c:numCache>
            </c:numRef>
          </c:val>
          <c:smooth val="0"/>
        </c:ser>
        <c:dLbls>
          <c:showLegendKey val="0"/>
          <c:showVal val="0"/>
          <c:showCatName val="0"/>
          <c:showSerName val="0"/>
          <c:showPercent val="0"/>
          <c:showBubbleSize val="0"/>
        </c:dLbls>
        <c:smooth val="0"/>
        <c:axId val="489020400"/>
        <c:axId val="489025496"/>
      </c:lineChart>
      <c:catAx>
        <c:axId val="489020400"/>
        <c:scaling>
          <c:orientation val="minMax"/>
        </c:scaling>
        <c:delete val="0"/>
        <c:axPos val="b"/>
        <c:numFmt formatCode="General" sourceLinked="1"/>
        <c:majorTickMark val="out"/>
        <c:minorTickMark val="none"/>
        <c:tickLblPos val="nextTo"/>
        <c:spPr>
          <a:noFill/>
          <a:ln w="9525" cap="flat" cmpd="sng" algn="ctr">
            <a:solidFill>
              <a:srgbClr val="1F497D"/>
            </a:solidFill>
            <a:prstDash val="solid"/>
          </a:ln>
          <a:effectLst/>
        </c:spPr>
        <c:crossAx val="489025496"/>
        <c:crosses val="autoZero"/>
        <c:auto val="1"/>
        <c:lblAlgn val="ctr"/>
        <c:lblOffset val="100"/>
        <c:noMultiLvlLbl val="0"/>
      </c:catAx>
      <c:valAx>
        <c:axId val="489025496"/>
        <c:scaling>
          <c:orientation val="minMax"/>
          <c:max val="20"/>
          <c:min val="-20"/>
        </c:scaling>
        <c:delete val="0"/>
        <c:axPos val="l"/>
        <c:majorGridlines>
          <c:spPr>
            <a:ln w="9525" cap="flat" cmpd="sng" algn="ctr">
              <a:solidFill>
                <a:srgbClr val="1F497D"/>
              </a:solidFill>
              <a:prstDash val="solid"/>
            </a:ln>
            <a:effectLst/>
          </c:spPr>
        </c:majorGridlines>
        <c:title>
          <c:tx>
            <c:rich>
              <a:bodyPr rot="-5400000" vert="horz"/>
              <a:lstStyle/>
              <a:p>
                <a:pPr algn="ctr" rtl="0">
                  <a:defRPr b="0"/>
                </a:pPr>
                <a:r>
                  <a:rPr lang="cs-CZ" b="0"/>
                  <a:t>absolutní hodnoty obyvatel</a:t>
                </a:r>
              </a:p>
              <a:p>
                <a:pPr algn="ctr" rtl="0">
                  <a:defRPr b="0"/>
                </a:pPr>
                <a:endParaRPr lang="cs-CZ" b="0"/>
              </a:p>
            </c:rich>
          </c:tx>
          <c:layout>
            <c:manualLayout>
              <c:xMode val="edge"/>
              <c:yMode val="edge"/>
              <c:x val="5.1502242775208658E-3"/>
              <c:y val="0.10157559650131898"/>
            </c:manualLayout>
          </c:layout>
          <c:overlay val="0"/>
        </c:title>
        <c:numFmt formatCode="General" sourceLinked="1"/>
        <c:majorTickMark val="out"/>
        <c:minorTickMark val="none"/>
        <c:tickLblPos val="nextTo"/>
        <c:spPr>
          <a:noFill/>
          <a:ln w="9525" cap="flat" cmpd="sng" algn="ctr">
            <a:solidFill>
              <a:srgbClr val="1F497D"/>
            </a:solidFill>
            <a:prstDash val="solid"/>
          </a:ln>
          <a:effectLst/>
        </c:spPr>
        <c:crossAx val="489020400"/>
        <c:crosses val="autoZero"/>
        <c:crossBetween val="between"/>
        <c:majorUnit val="5"/>
      </c:valAx>
      <c:spPr>
        <a:ln>
          <a:noFill/>
        </a:ln>
      </c:spPr>
    </c:plotArea>
    <c:legend>
      <c:legendPos val="b"/>
      <c:overlay val="0"/>
    </c:legend>
    <c:plotVisOnly val="1"/>
    <c:dispBlanksAs val="gap"/>
    <c:showDLblsOverMax val="0"/>
  </c:chart>
  <c:spPr>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a:scene3d>
      <a:camera prst="orthographicFront"/>
      <a:lightRig rig="threePt" dir="t"/>
    </a:scene3d>
    <a:sp3d>
      <a:bevelT w="190500" h="38100"/>
    </a:sp3d>
  </c:spPr>
  <c:txPr>
    <a:bodyPr/>
    <a:lstStyle/>
    <a:p>
      <a:pPr>
        <a:defRPr>
          <a:solidFill>
            <a:sysClr val="windowText" lastClr="000000"/>
          </a:solidFill>
          <a:latin typeface="Times New Roman" panose="02020603050405020304" pitchFamily="18" charset="0"/>
          <a:ea typeface="+mn-ea"/>
          <a:cs typeface="Times New Roman" panose="02020603050405020304" pitchFamily="18" charset="0"/>
        </a:defRPr>
      </a:pPr>
      <a:endParaRPr lang="cs-CZ"/>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areaChart>
        <c:grouping val="percentStacked"/>
        <c:varyColors val="0"/>
        <c:ser>
          <c:idx val="0"/>
          <c:order val="0"/>
          <c:tx>
            <c:strRef>
              <c:f>obyvatelstvo!$P$50</c:f>
              <c:strCache>
                <c:ptCount val="1"/>
                <c:pt idx="0">
                  <c:v>0 - 14 let</c:v>
                </c:pt>
              </c:strCache>
            </c:strRef>
          </c:tx>
          <c:cat>
            <c:numRef>
              <c:f>obyvatelstvo!$M$49:$O$49</c:f>
              <c:numCache>
                <c:formatCode>General</c:formatCode>
                <c:ptCount val="3"/>
                <c:pt idx="0">
                  <c:v>2001</c:v>
                </c:pt>
                <c:pt idx="1">
                  <c:v>2011</c:v>
                </c:pt>
                <c:pt idx="2">
                  <c:v>2017</c:v>
                </c:pt>
              </c:numCache>
            </c:numRef>
          </c:cat>
          <c:val>
            <c:numRef>
              <c:f>obyvatelstvo!$M$50:$O$50</c:f>
              <c:numCache>
                <c:formatCode>0.0</c:formatCode>
                <c:ptCount val="3"/>
                <c:pt idx="0">
                  <c:v>13.54534746760895</c:v>
                </c:pt>
                <c:pt idx="1">
                  <c:v>14.157303370786517</c:v>
                </c:pt>
                <c:pt idx="2">
                  <c:v>16.312849162011172</c:v>
                </c:pt>
              </c:numCache>
            </c:numRef>
          </c:val>
        </c:ser>
        <c:ser>
          <c:idx val="1"/>
          <c:order val="1"/>
          <c:tx>
            <c:strRef>
              <c:f>obyvatelstvo!$P$51</c:f>
              <c:strCache>
                <c:ptCount val="1"/>
                <c:pt idx="0">
                  <c:v>15 - 64 let</c:v>
                </c:pt>
              </c:strCache>
            </c:strRef>
          </c:tx>
          <c:spPr>
            <a:ln w="25400">
              <a:noFill/>
            </a:ln>
          </c:spPr>
          <c:cat>
            <c:numRef>
              <c:f>obyvatelstvo!$M$49:$O$49</c:f>
              <c:numCache>
                <c:formatCode>General</c:formatCode>
                <c:ptCount val="3"/>
                <c:pt idx="0">
                  <c:v>2001</c:v>
                </c:pt>
                <c:pt idx="1">
                  <c:v>2011</c:v>
                </c:pt>
                <c:pt idx="2">
                  <c:v>2017</c:v>
                </c:pt>
              </c:numCache>
            </c:numRef>
          </c:cat>
          <c:val>
            <c:numRef>
              <c:f>obyvatelstvo!$M$51:$O$51</c:f>
              <c:numCache>
                <c:formatCode>0.0</c:formatCode>
                <c:ptCount val="3"/>
                <c:pt idx="0">
                  <c:v>67.726737338044757</c:v>
                </c:pt>
                <c:pt idx="1">
                  <c:v>67.977528089887642</c:v>
                </c:pt>
                <c:pt idx="2">
                  <c:v>62.681564245810051</c:v>
                </c:pt>
              </c:numCache>
            </c:numRef>
          </c:val>
        </c:ser>
        <c:ser>
          <c:idx val="2"/>
          <c:order val="2"/>
          <c:tx>
            <c:strRef>
              <c:f>obyvatelstvo!$P$52</c:f>
              <c:strCache>
                <c:ptCount val="1"/>
                <c:pt idx="0">
                  <c:v>65 a více let</c:v>
                </c:pt>
              </c:strCache>
            </c:strRef>
          </c:tx>
          <c:spPr>
            <a:ln w="25400">
              <a:noFill/>
            </a:ln>
          </c:spPr>
          <c:cat>
            <c:numRef>
              <c:f>obyvatelstvo!$M$49:$O$49</c:f>
              <c:numCache>
                <c:formatCode>General</c:formatCode>
                <c:ptCount val="3"/>
                <c:pt idx="0">
                  <c:v>2001</c:v>
                </c:pt>
                <c:pt idx="1">
                  <c:v>2011</c:v>
                </c:pt>
                <c:pt idx="2">
                  <c:v>2017</c:v>
                </c:pt>
              </c:numCache>
            </c:numRef>
          </c:cat>
          <c:val>
            <c:numRef>
              <c:f>obyvatelstvo!$M$52:$O$52</c:f>
              <c:numCache>
                <c:formatCode>0.0</c:formatCode>
                <c:ptCount val="3"/>
                <c:pt idx="0">
                  <c:v>18.727915194346288</c:v>
                </c:pt>
                <c:pt idx="1">
                  <c:v>17.865168539325843</c:v>
                </c:pt>
                <c:pt idx="2">
                  <c:v>21.005586592178773</c:v>
                </c:pt>
              </c:numCache>
            </c:numRef>
          </c:val>
        </c:ser>
        <c:dLbls>
          <c:showLegendKey val="0"/>
          <c:showVal val="0"/>
          <c:showCatName val="0"/>
          <c:showSerName val="0"/>
          <c:showPercent val="0"/>
          <c:showBubbleSize val="0"/>
        </c:dLbls>
        <c:axId val="489025104"/>
        <c:axId val="489027456"/>
      </c:areaChart>
      <c:catAx>
        <c:axId val="489025104"/>
        <c:scaling>
          <c:orientation val="minMax"/>
        </c:scaling>
        <c:delete val="0"/>
        <c:axPos val="b"/>
        <c:numFmt formatCode="General" sourceLinked="1"/>
        <c:majorTickMark val="out"/>
        <c:minorTickMark val="none"/>
        <c:tickLblPos val="nextTo"/>
        <c:spPr>
          <a:ln>
            <a:solidFill>
              <a:schemeClr val="tx2"/>
            </a:solidFill>
          </a:ln>
        </c:spPr>
        <c:crossAx val="489027456"/>
        <c:crosses val="autoZero"/>
        <c:auto val="1"/>
        <c:lblAlgn val="ctr"/>
        <c:lblOffset val="100"/>
        <c:noMultiLvlLbl val="0"/>
      </c:catAx>
      <c:valAx>
        <c:axId val="489027456"/>
        <c:scaling>
          <c:orientation val="minMax"/>
        </c:scaling>
        <c:delete val="0"/>
        <c:axPos val="l"/>
        <c:majorGridlines/>
        <c:numFmt formatCode="0%" sourceLinked="1"/>
        <c:majorTickMark val="out"/>
        <c:minorTickMark val="none"/>
        <c:tickLblPos val="nextTo"/>
        <c:spPr>
          <a:ln>
            <a:solidFill>
              <a:schemeClr val="tx2"/>
            </a:solidFill>
          </a:ln>
        </c:spPr>
        <c:crossAx val="489025104"/>
        <c:crosses val="autoZero"/>
        <c:crossBetween val="midCat"/>
      </c:valAx>
    </c:plotArea>
    <c:legend>
      <c:legendPos val="b"/>
      <c:overlay val="0"/>
    </c:legend>
    <c:plotVisOnly val="1"/>
    <c:dispBlanksAs val="zero"/>
    <c:showDLblsOverMax val="0"/>
  </c:chart>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a:scene3d>
      <a:camera prst="orthographicFront"/>
      <a:lightRig rig="threePt" dir="t"/>
    </a:scene3d>
    <a:sp3d>
      <a:bevelT/>
    </a:sp3d>
  </c:spPr>
  <c:txPr>
    <a:bodyPr/>
    <a:lstStyle/>
    <a:p>
      <a:pPr>
        <a:defRPr>
          <a:solidFill>
            <a:schemeClr val="dk1"/>
          </a:solidFill>
          <a:latin typeface="+mn-lt"/>
          <a:ea typeface="+mn-ea"/>
          <a:cs typeface="+mn-cs"/>
        </a:defRPr>
      </a:pPr>
      <a:endParaRPr lang="cs-CZ"/>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stacked"/>
        <c:varyColors val="0"/>
        <c:ser>
          <c:idx val="0"/>
          <c:order val="0"/>
          <c:tx>
            <c:strRef>
              <c:f>obyvatelstvo!$J$65</c:f>
              <c:strCache>
                <c:ptCount val="1"/>
                <c:pt idx="0">
                  <c:v>podíl ženy</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txPr>
              <a:bodyPr/>
              <a:lstStyle/>
              <a:p>
                <a:pPr>
                  <a:defRPr>
                    <a:solidFill>
                      <a:schemeClr val="lt1"/>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obyvatelstvo!$B$66:$B$83</c:f>
              <c:strCache>
                <c:ptCount val="18"/>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c:v>
                </c:pt>
              </c:strCache>
            </c:strRef>
          </c:cat>
          <c:val>
            <c:numRef>
              <c:f>obyvatelstvo!$I$66:$I$83</c:f>
              <c:numCache>
                <c:formatCode>#,##0_ ;\-#,##0\ </c:formatCode>
                <c:ptCount val="18"/>
                <c:pt idx="0">
                  <c:v>16</c:v>
                </c:pt>
                <c:pt idx="1">
                  <c:v>34</c:v>
                </c:pt>
                <c:pt idx="2">
                  <c:v>18</c:v>
                </c:pt>
                <c:pt idx="3">
                  <c:v>17</c:v>
                </c:pt>
                <c:pt idx="4">
                  <c:v>21</c:v>
                </c:pt>
                <c:pt idx="5">
                  <c:v>22</c:v>
                </c:pt>
                <c:pt idx="6">
                  <c:v>21</c:v>
                </c:pt>
                <c:pt idx="7">
                  <c:v>42</c:v>
                </c:pt>
                <c:pt idx="8">
                  <c:v>45</c:v>
                </c:pt>
                <c:pt idx="9">
                  <c:v>30</c:v>
                </c:pt>
                <c:pt idx="10">
                  <c:v>23</c:v>
                </c:pt>
                <c:pt idx="11">
                  <c:v>27</c:v>
                </c:pt>
                <c:pt idx="12">
                  <c:v>41</c:v>
                </c:pt>
                <c:pt idx="13">
                  <c:v>36</c:v>
                </c:pt>
                <c:pt idx="14">
                  <c:v>24</c:v>
                </c:pt>
                <c:pt idx="15">
                  <c:v>11</c:v>
                </c:pt>
                <c:pt idx="16">
                  <c:v>12</c:v>
                </c:pt>
                <c:pt idx="17">
                  <c:v>14</c:v>
                </c:pt>
              </c:numCache>
            </c:numRef>
          </c:val>
        </c:ser>
        <c:ser>
          <c:idx val="1"/>
          <c:order val="1"/>
          <c:tx>
            <c:strRef>
              <c:f>obyvatelstvo!$L$65</c:f>
              <c:strCache>
                <c:ptCount val="1"/>
                <c:pt idx="0">
                  <c:v>podíl muži</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txPr>
              <a:bodyPr/>
              <a:lstStyle/>
              <a:p>
                <a:pPr>
                  <a:defRPr>
                    <a:solidFill>
                      <a:schemeClr val="lt1"/>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obyvatelstvo!$B$66:$B$83</c:f>
              <c:strCache>
                <c:ptCount val="18"/>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c:v>
                </c:pt>
              </c:strCache>
            </c:strRef>
          </c:cat>
          <c:val>
            <c:numRef>
              <c:f>obyvatelstvo!$K$66:$K$83</c:f>
              <c:numCache>
                <c:formatCode>#,##0_ ;\-#,##0\ </c:formatCode>
                <c:ptCount val="18"/>
                <c:pt idx="0">
                  <c:v>31</c:v>
                </c:pt>
                <c:pt idx="1">
                  <c:v>29</c:v>
                </c:pt>
                <c:pt idx="2">
                  <c:v>18</c:v>
                </c:pt>
                <c:pt idx="3">
                  <c:v>19</c:v>
                </c:pt>
                <c:pt idx="4">
                  <c:v>16</c:v>
                </c:pt>
                <c:pt idx="5">
                  <c:v>21</c:v>
                </c:pt>
                <c:pt idx="6">
                  <c:v>33</c:v>
                </c:pt>
                <c:pt idx="7">
                  <c:v>39</c:v>
                </c:pt>
                <c:pt idx="8">
                  <c:v>48</c:v>
                </c:pt>
                <c:pt idx="9">
                  <c:v>21</c:v>
                </c:pt>
                <c:pt idx="10">
                  <c:v>24</c:v>
                </c:pt>
                <c:pt idx="11">
                  <c:v>20</c:v>
                </c:pt>
                <c:pt idx="12">
                  <c:v>31</c:v>
                </c:pt>
                <c:pt idx="13">
                  <c:v>30</c:v>
                </c:pt>
                <c:pt idx="14">
                  <c:v>30</c:v>
                </c:pt>
                <c:pt idx="15">
                  <c:v>14</c:v>
                </c:pt>
                <c:pt idx="16">
                  <c:v>10</c:v>
                </c:pt>
                <c:pt idx="17">
                  <c:v>7</c:v>
                </c:pt>
              </c:numCache>
            </c:numRef>
          </c:val>
        </c:ser>
        <c:dLbls>
          <c:showLegendKey val="0"/>
          <c:showVal val="0"/>
          <c:showCatName val="0"/>
          <c:showSerName val="0"/>
          <c:showPercent val="0"/>
          <c:showBubbleSize val="0"/>
        </c:dLbls>
        <c:gapWidth val="150"/>
        <c:overlap val="100"/>
        <c:axId val="489027848"/>
        <c:axId val="489028240"/>
      </c:barChart>
      <c:catAx>
        <c:axId val="489027848"/>
        <c:scaling>
          <c:orientation val="minMax"/>
        </c:scaling>
        <c:delete val="0"/>
        <c:axPos val="l"/>
        <c:title>
          <c:tx>
            <c:rich>
              <a:bodyPr rot="-5400000" vert="horz"/>
              <a:lstStyle/>
              <a:p>
                <a:pPr>
                  <a:defRPr b="0"/>
                </a:pPr>
                <a:r>
                  <a:rPr lang="cs-CZ" b="0"/>
                  <a:t>pětileté věkové skupiny obyvatel</a:t>
                </a:r>
              </a:p>
            </c:rich>
          </c:tx>
          <c:overlay val="0"/>
        </c:title>
        <c:numFmt formatCode="General" sourceLinked="0"/>
        <c:majorTickMark val="out"/>
        <c:minorTickMark val="none"/>
        <c:tickLblPos val="nextTo"/>
        <c:spPr>
          <a:ln>
            <a:solidFill>
              <a:schemeClr val="accent1"/>
            </a:solidFill>
          </a:ln>
        </c:spPr>
        <c:crossAx val="489028240"/>
        <c:crosses val="autoZero"/>
        <c:auto val="1"/>
        <c:lblAlgn val="ctr"/>
        <c:lblOffset val="100"/>
        <c:noMultiLvlLbl val="0"/>
      </c:catAx>
      <c:valAx>
        <c:axId val="489028240"/>
        <c:scaling>
          <c:orientation val="minMax"/>
          <c:max val="95"/>
          <c:min val="0"/>
        </c:scaling>
        <c:delete val="0"/>
        <c:axPos val="b"/>
        <c:majorGridlines>
          <c:spPr>
            <a:ln>
              <a:solidFill>
                <a:schemeClr val="accent1"/>
              </a:solidFill>
            </a:ln>
          </c:spPr>
        </c:majorGridlines>
        <c:title>
          <c:tx>
            <c:rich>
              <a:bodyPr/>
              <a:lstStyle/>
              <a:p>
                <a:pPr>
                  <a:defRPr b="0"/>
                </a:pPr>
                <a:r>
                  <a:rPr lang="cs-CZ" b="0"/>
                  <a:t>p</a:t>
                </a:r>
                <a:r>
                  <a:rPr lang="en-US" b="0"/>
                  <a:t>o</a:t>
                </a:r>
                <a:r>
                  <a:rPr lang="cs-CZ" b="0"/>
                  <a:t>čet obyvatel ve</a:t>
                </a:r>
                <a:r>
                  <a:rPr lang="cs-CZ" b="0" baseline="0"/>
                  <a:t> </a:t>
                </a:r>
                <a:r>
                  <a:rPr lang="cs-CZ" b="0"/>
                  <a:t>věkových</a:t>
                </a:r>
                <a:r>
                  <a:rPr lang="cs-CZ" b="0" baseline="0"/>
                  <a:t> skupinách s podílem mežů a žen</a:t>
                </a:r>
                <a:r>
                  <a:rPr lang="cs-CZ" b="0"/>
                  <a:t>  </a:t>
                </a:r>
              </a:p>
            </c:rich>
          </c:tx>
          <c:overlay val="0"/>
        </c:title>
        <c:numFmt formatCode="#,##0_ ;\-#,##0\ " sourceLinked="1"/>
        <c:majorTickMark val="out"/>
        <c:minorTickMark val="none"/>
        <c:tickLblPos val="nextTo"/>
        <c:spPr>
          <a:ln>
            <a:solidFill>
              <a:schemeClr val="tx2"/>
            </a:solidFill>
          </a:ln>
        </c:spPr>
        <c:crossAx val="489027848"/>
        <c:crosses val="autoZero"/>
        <c:crossBetween val="between"/>
      </c:valAx>
    </c:plotArea>
    <c:legend>
      <c:legendPos val="b"/>
      <c:overlay val="0"/>
    </c:legend>
    <c:plotVisOnly val="1"/>
    <c:dispBlanksAs val="gap"/>
    <c:showDLblsOverMax val="0"/>
  </c:chart>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a:scene3d>
      <a:camera prst="orthographicFront"/>
      <a:lightRig rig="threePt" dir="t"/>
    </a:scene3d>
    <a:sp3d>
      <a:bevelT w="190500" h="38100"/>
    </a:sp3d>
  </c:spPr>
  <c:txPr>
    <a:bodyPr/>
    <a:lstStyle/>
    <a:p>
      <a:pPr>
        <a:defRPr>
          <a:solidFill>
            <a:schemeClr val="dk1"/>
          </a:solidFill>
          <a:latin typeface="Times New Roman" panose="02020603050405020304" pitchFamily="18" charset="0"/>
          <a:ea typeface="+mn-ea"/>
          <a:cs typeface="Times New Roman" panose="02020603050405020304" pitchFamily="18" charset="0"/>
        </a:defRPr>
      </a:pPr>
      <a:endParaRPr lang="cs-CZ"/>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doughnutChart>
        <c:varyColors val="1"/>
        <c:ser>
          <c:idx val="0"/>
          <c:order val="0"/>
          <c:dLbls>
            <c:dLbl>
              <c:idx val="3"/>
              <c:layout>
                <c:manualLayout>
                  <c:x val="-1.1088188122554852E-2"/>
                  <c:y val="-4.6296296296296294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4.4352054032675593E-3"/>
                  <c:y val="5.0925925925925923E-2"/>
                </c:manualLayout>
              </c:layout>
              <c:showLegendKey val="0"/>
              <c:showVal val="1"/>
              <c:showCatName val="0"/>
              <c:showSerName val="0"/>
              <c:showPercent val="0"/>
              <c:showBubbleSize val="0"/>
              <c:extLst>
                <c:ext xmlns:c15="http://schemas.microsoft.com/office/drawing/2012/chart" uri="{CE6537A1-D6FC-4f65-9D91-7224C49458BB}"/>
              </c:extLst>
            </c:dLbl>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cs-CZ"/>
              </a:p>
            </c:txPr>
            <c:showLegendKey val="0"/>
            <c:showVal val="1"/>
            <c:showCatName val="0"/>
            <c:showSerName val="0"/>
            <c:showPercent val="0"/>
            <c:showBubbleSize val="0"/>
            <c:showLeaderLines val="1"/>
            <c:extLst>
              <c:ext xmlns:c15="http://schemas.microsoft.com/office/drawing/2012/chart" uri="{CE6537A1-D6FC-4f65-9D91-7224C49458BB}"/>
            </c:extLst>
          </c:dLbls>
          <c:cat>
            <c:strRef>
              <c:f>obyvatelstvo!$J$91:$J$95</c:f>
              <c:strCache>
                <c:ptCount val="5"/>
                <c:pt idx="0">
                  <c:v>základní vč. neukončeného</c:v>
                </c:pt>
                <c:pt idx="1">
                  <c:v>střední vč. vyučení (bez maturity)</c:v>
                </c:pt>
                <c:pt idx="2">
                  <c:v>úplné střední (s maturitou) a vyšší odborné</c:v>
                </c:pt>
                <c:pt idx="3">
                  <c:v>vysokoškolské</c:v>
                </c:pt>
                <c:pt idx="4">
                  <c:v>bez vzdělání</c:v>
                </c:pt>
              </c:strCache>
            </c:strRef>
          </c:cat>
          <c:val>
            <c:numRef>
              <c:f>obyvatelstvo!$K$91:$K$95</c:f>
              <c:numCache>
                <c:formatCode>General</c:formatCode>
                <c:ptCount val="5"/>
                <c:pt idx="0">
                  <c:v>100</c:v>
                </c:pt>
                <c:pt idx="1">
                  <c:v>236</c:v>
                </c:pt>
                <c:pt idx="2">
                  <c:v>275</c:v>
                </c:pt>
                <c:pt idx="3">
                  <c:v>91</c:v>
                </c:pt>
                <c:pt idx="4" formatCode="###,###,##0">
                  <c:v>5</c:v>
                </c:pt>
              </c:numCache>
            </c:numRef>
          </c:val>
        </c:ser>
        <c:dLbls>
          <c:showLegendKey val="0"/>
          <c:showVal val="0"/>
          <c:showCatName val="0"/>
          <c:showSerName val="0"/>
          <c:showPercent val="0"/>
          <c:showBubbleSize val="0"/>
          <c:showLeaderLines val="1"/>
        </c:dLbls>
        <c:firstSliceAng val="0"/>
        <c:holeSize val="50"/>
      </c:doughnutChart>
    </c:plotArea>
    <c:legend>
      <c:legendPos val="r"/>
      <c:overlay val="0"/>
      <c:txPr>
        <a:bodyPr/>
        <a:lstStyle/>
        <a:p>
          <a:pPr rtl="0">
            <a:defRPr/>
          </a:pPr>
          <a:endParaRPr lang="cs-CZ"/>
        </a:p>
      </c:txPr>
    </c:legend>
    <c:plotVisOnly val="1"/>
    <c:dispBlanksAs val="gap"/>
    <c:showDLblsOverMax val="0"/>
  </c:chart>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a:scene3d>
      <a:camera prst="orthographicFront"/>
      <a:lightRig rig="threePt" dir="t"/>
    </a:scene3d>
    <a:sp3d>
      <a:bevelT w="190500" h="38100"/>
    </a:sp3d>
  </c:spPr>
  <c:txPr>
    <a:bodyPr/>
    <a:lstStyle/>
    <a:p>
      <a:pPr>
        <a:defRPr>
          <a:solidFill>
            <a:schemeClr val="dk1"/>
          </a:solidFill>
          <a:latin typeface="+mn-lt"/>
          <a:ea typeface="+mn-ea"/>
          <a:cs typeface="+mn-cs"/>
        </a:defRPr>
      </a:pPr>
      <a:endParaRPr lang="cs-CZ"/>
    </a:p>
  </c:txPr>
  <c:externalData r:id="rId2">
    <c:autoUpdate val="0"/>
  </c:externalData>
</c:chartSpac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F495E2C-AD79-430C-B5AC-2CDC69ECE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1219</Words>
  <Characters>7195</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Šafařík</dc:creator>
  <cp:lastModifiedBy>Petr Ponikelský</cp:lastModifiedBy>
  <cp:revision>3</cp:revision>
  <cp:lastPrinted>2017-10-30T09:24:00Z</cp:lastPrinted>
  <dcterms:created xsi:type="dcterms:W3CDTF">2019-04-11T20:27:00Z</dcterms:created>
  <dcterms:modified xsi:type="dcterms:W3CDTF">2019-04-11T20:28:00Z</dcterms:modified>
</cp:coreProperties>
</file>