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EF" w:rsidRPr="005E78D3" w:rsidRDefault="009201EF" w:rsidP="005E78D3">
      <w:pPr>
        <w:pStyle w:val="Nadpis2"/>
      </w:pPr>
      <w:bookmarkStart w:id="0" w:name="_Toc420948851"/>
      <w:bookmarkStart w:id="1" w:name="_Toc431553415"/>
      <w:bookmarkStart w:id="2" w:name="_Toc4675403"/>
      <w:r w:rsidRPr="005E78D3">
        <w:t>Obyvatelstvo</w:t>
      </w:r>
      <w:bookmarkEnd w:id="0"/>
      <w:bookmarkEnd w:id="1"/>
      <w:bookmarkEnd w:id="2"/>
    </w:p>
    <w:p w:rsidR="009B1EA0" w:rsidRPr="009201EF" w:rsidRDefault="009B1EA0" w:rsidP="009B1EA0">
      <w:pPr>
        <w:jc w:val="both"/>
        <w:rPr>
          <w:rFonts w:ascii="Times New Roman" w:hAnsi="Times New Roman" w:cs="Times New Roman"/>
        </w:rPr>
      </w:pPr>
      <w:bookmarkStart w:id="3" w:name="_Toc420948853"/>
      <w:r w:rsidRPr="009201EF">
        <w:rPr>
          <w:rFonts w:ascii="Times New Roman" w:hAnsi="Times New Roman" w:cs="Times New Roman"/>
        </w:rPr>
        <w:t>V kapitole obyvatelstvo jsou sledovány základní</w:t>
      </w:r>
      <w:r>
        <w:rPr>
          <w:rFonts w:ascii="Times New Roman" w:hAnsi="Times New Roman" w:cs="Times New Roman"/>
        </w:rPr>
        <w:t xml:space="preserve"> demografické</w:t>
      </w:r>
      <w:r w:rsidRPr="009201EF">
        <w:rPr>
          <w:rFonts w:ascii="Times New Roman" w:hAnsi="Times New Roman" w:cs="Times New Roman"/>
        </w:rPr>
        <w:t xml:space="preserve"> ch</w:t>
      </w:r>
      <w:r>
        <w:rPr>
          <w:rFonts w:ascii="Times New Roman" w:hAnsi="Times New Roman" w:cs="Times New Roman"/>
        </w:rPr>
        <w:t>arakteristiky -</w:t>
      </w:r>
      <w:r w:rsidRPr="009201EF">
        <w:rPr>
          <w:rFonts w:ascii="Times New Roman" w:hAnsi="Times New Roman" w:cs="Times New Roman"/>
        </w:rPr>
        <w:t xml:space="preserve"> vývoj celkového počtu obyvatelstva, přirozený přírůstek a úbytek, přírůstek stěhováním, věková a vzdělanostní struktura obyvatelstva.</w:t>
      </w:r>
      <w:r>
        <w:rPr>
          <w:rFonts w:ascii="Times New Roman" w:hAnsi="Times New Roman" w:cs="Times New Roman"/>
        </w:rPr>
        <w:t xml:space="preserve">  </w:t>
      </w:r>
    </w:p>
    <w:p w:rsidR="009B1EA0" w:rsidRDefault="009B1EA0" w:rsidP="009B1EA0">
      <w:pPr>
        <w:spacing w:after="0" w:line="240" w:lineRule="auto"/>
        <w:rPr>
          <w:rFonts w:ascii="Times New Roman" w:hAnsi="Times New Roman" w:cs="Times New Roman"/>
          <w:sz w:val="18"/>
        </w:rPr>
      </w:pPr>
      <w:r>
        <w:rPr>
          <w:rFonts w:ascii="Times New Roman" w:hAnsi="Times New Roman" w:cs="Times New Roman"/>
          <w:sz w:val="18"/>
        </w:rPr>
        <w:t>Tabulka: Vývoj</w:t>
      </w:r>
      <w:r w:rsidRPr="009201EF">
        <w:rPr>
          <w:rFonts w:ascii="Times New Roman" w:hAnsi="Times New Roman" w:cs="Times New Roman"/>
          <w:sz w:val="18"/>
        </w:rPr>
        <w:t xml:space="preserve"> počtu obyvatel</w:t>
      </w:r>
      <w:r>
        <w:rPr>
          <w:rFonts w:ascii="Times New Roman" w:hAnsi="Times New Roman" w:cs="Times New Roman"/>
          <w:sz w:val="18"/>
        </w:rPr>
        <w:t xml:space="preserve"> celkem a dle pohlaví</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1165"/>
        <w:gridCol w:w="790"/>
        <w:gridCol w:w="790"/>
        <w:gridCol w:w="790"/>
        <w:gridCol w:w="790"/>
        <w:gridCol w:w="790"/>
        <w:gridCol w:w="790"/>
        <w:gridCol w:w="790"/>
        <w:gridCol w:w="790"/>
        <w:gridCol w:w="790"/>
        <w:gridCol w:w="787"/>
      </w:tblGrid>
      <w:tr w:rsidR="009B1EA0" w:rsidRPr="00EE03E7" w:rsidTr="00FC2E01">
        <w:trPr>
          <w:trHeight w:val="255"/>
        </w:trPr>
        <w:tc>
          <w:tcPr>
            <w:tcW w:w="642"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Rok</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2008</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2009</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2010</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2011</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2012</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2013</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2014</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2015</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2016</w:t>
            </w:r>
          </w:p>
        </w:tc>
        <w:tc>
          <w:tcPr>
            <w:tcW w:w="436"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2017</w:t>
            </w:r>
          </w:p>
        </w:tc>
      </w:tr>
      <w:tr w:rsidR="009B1EA0" w:rsidRPr="00EE03E7" w:rsidTr="00FC2E01">
        <w:trPr>
          <w:trHeight w:val="227"/>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Celkem</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546</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524</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513</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507</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499</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494</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502</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507</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504</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497</w:t>
            </w:r>
          </w:p>
        </w:tc>
      </w:tr>
      <w:tr w:rsidR="009B1EA0" w:rsidRPr="00EE03E7" w:rsidTr="00FC2E01">
        <w:trPr>
          <w:trHeight w:val="227"/>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Muži</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273</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265</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258</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254</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252</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245</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251</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255</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250</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246</w:t>
            </w:r>
          </w:p>
        </w:tc>
      </w:tr>
      <w:tr w:rsidR="009B1EA0" w:rsidRPr="00EE03E7" w:rsidTr="00FC2E01">
        <w:trPr>
          <w:trHeight w:val="227"/>
        </w:trPr>
        <w:tc>
          <w:tcPr>
            <w:tcW w:w="642"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Ženy</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273</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259</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255</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253</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247</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249</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251</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252</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254</w:t>
            </w:r>
          </w:p>
        </w:tc>
        <w:tc>
          <w:tcPr>
            <w:tcW w:w="436"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251</w:t>
            </w:r>
          </w:p>
        </w:tc>
      </w:tr>
    </w:tbl>
    <w:p w:rsidR="009B1EA0" w:rsidRPr="009201EF" w:rsidRDefault="009B1EA0" w:rsidP="009B1EA0">
      <w:pPr>
        <w:rPr>
          <w:rFonts w:ascii="Times New Roman" w:hAnsi="Times New Roman" w:cs="Times New Roman"/>
          <w:sz w:val="18"/>
        </w:rPr>
      </w:pPr>
      <w:r w:rsidRPr="009201EF">
        <w:rPr>
          <w:rFonts w:ascii="Times New Roman" w:hAnsi="Times New Roman" w:cs="Times New Roman"/>
          <w:sz w:val="18"/>
        </w:rPr>
        <w:t>Zdroj: ČSÚ, vlastní zpracování</w:t>
      </w:r>
    </w:p>
    <w:p w:rsidR="009B1EA0" w:rsidRDefault="009B1EA0" w:rsidP="009B1EA0">
      <w:pPr>
        <w:jc w:val="both"/>
        <w:rPr>
          <w:rFonts w:ascii="Times New Roman" w:hAnsi="Times New Roman" w:cs="Times New Roman"/>
        </w:rPr>
      </w:pPr>
      <w:r w:rsidRPr="009201EF">
        <w:rPr>
          <w:rFonts w:ascii="Times New Roman" w:hAnsi="Times New Roman" w:cs="Times New Roman"/>
        </w:rPr>
        <w:t>Vývoj celkového počtu obyvatel má ve sledovaném období</w:t>
      </w:r>
      <w:r>
        <w:rPr>
          <w:rFonts w:ascii="Times New Roman" w:hAnsi="Times New Roman" w:cs="Times New Roman"/>
        </w:rPr>
        <w:t xml:space="preserve"> (2008 – 2017)</w:t>
      </w:r>
      <w:r w:rsidRPr="009201EF">
        <w:rPr>
          <w:rFonts w:ascii="Times New Roman" w:hAnsi="Times New Roman" w:cs="Times New Roman"/>
        </w:rPr>
        <w:t xml:space="preserve"> </w:t>
      </w:r>
      <w:r>
        <w:rPr>
          <w:rFonts w:ascii="Times New Roman" w:hAnsi="Times New Roman" w:cs="Times New Roman"/>
        </w:rPr>
        <w:t xml:space="preserve">klesající vývojovou charakteristiku se zaznamenaným mírným nárůstem mezi lety 2014 – 2015. V průběhu poslední dekády počet obyvatel klesl o 49 obyvatel (9%). </w:t>
      </w:r>
    </w:p>
    <w:p w:rsidR="009B1EA0" w:rsidRPr="009201EF" w:rsidRDefault="009B1EA0" w:rsidP="009B1EA0">
      <w:pPr>
        <w:spacing w:after="0" w:line="240" w:lineRule="auto"/>
        <w:jc w:val="both"/>
        <w:rPr>
          <w:rFonts w:ascii="Times New Roman" w:hAnsi="Times New Roman" w:cs="Times New Roman"/>
        </w:rPr>
      </w:pPr>
    </w:p>
    <w:p w:rsidR="009B1EA0" w:rsidRPr="004A45BA" w:rsidRDefault="009B1EA0" w:rsidP="009B1EA0">
      <w:pPr>
        <w:jc w:val="both"/>
        <w:rPr>
          <w:rFonts w:ascii="Times New Roman" w:hAnsi="Times New Roman" w:cs="Times New Roman"/>
        </w:rPr>
      </w:pPr>
      <w:r w:rsidRPr="009201EF">
        <w:rPr>
          <w:rFonts w:ascii="Times New Roman" w:hAnsi="Times New Roman" w:cs="Times New Roman"/>
        </w:rPr>
        <w:t xml:space="preserve">Následující graf zachycuje </w:t>
      </w:r>
      <w:r>
        <w:rPr>
          <w:rFonts w:ascii="Times New Roman" w:hAnsi="Times New Roman" w:cs="Times New Roman"/>
        </w:rPr>
        <w:t>obec</w:t>
      </w:r>
      <w:r w:rsidRPr="009201EF">
        <w:rPr>
          <w:rFonts w:ascii="Times New Roman" w:hAnsi="Times New Roman" w:cs="Times New Roman"/>
        </w:rPr>
        <w:t xml:space="preserve"> ve srovnání s SO ORP </w:t>
      </w:r>
      <w:r>
        <w:rPr>
          <w:rFonts w:ascii="Times New Roman" w:hAnsi="Times New Roman" w:cs="Times New Roman"/>
        </w:rPr>
        <w:t>Tanvald v meziročním relativním vývoji počtu obyvatel</w:t>
      </w:r>
      <w:r w:rsidRPr="009201EF">
        <w:rPr>
          <w:rFonts w:ascii="Times New Roman" w:hAnsi="Times New Roman" w:cs="Times New Roman"/>
        </w:rPr>
        <w:t>. Z grafu je patrné, že</w:t>
      </w:r>
      <w:r>
        <w:rPr>
          <w:rFonts w:ascii="Times New Roman" w:hAnsi="Times New Roman" w:cs="Times New Roman"/>
        </w:rPr>
        <w:t xml:space="preserve"> meziroční</w:t>
      </w:r>
      <w:r w:rsidRPr="009201EF">
        <w:rPr>
          <w:rFonts w:ascii="Times New Roman" w:hAnsi="Times New Roman" w:cs="Times New Roman"/>
        </w:rPr>
        <w:t xml:space="preserve"> </w:t>
      </w:r>
      <w:r>
        <w:rPr>
          <w:rFonts w:ascii="Times New Roman" w:hAnsi="Times New Roman" w:cs="Times New Roman"/>
        </w:rPr>
        <w:t xml:space="preserve">vývoj počtu obyvatel osciluje kolem záporného vývojového trendu širšího území SO ORP Tanvald. </w:t>
      </w:r>
    </w:p>
    <w:p w:rsidR="009B1EA0" w:rsidRDefault="009B1EA0" w:rsidP="009B1EA0">
      <w:pPr>
        <w:spacing w:after="0" w:line="240" w:lineRule="auto"/>
        <w:rPr>
          <w:rFonts w:ascii="Times New Roman" w:hAnsi="Times New Roman" w:cs="Times New Roman"/>
          <w:sz w:val="18"/>
        </w:rPr>
      </w:pPr>
    </w:p>
    <w:p w:rsidR="009B1EA0" w:rsidRPr="009201EF" w:rsidRDefault="009B1EA0" w:rsidP="009B1EA0">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Srovnání meziročního</w:t>
      </w:r>
      <w:r>
        <w:rPr>
          <w:rFonts w:ascii="Times New Roman" w:hAnsi="Times New Roman" w:cs="Times New Roman"/>
          <w:sz w:val="18"/>
        </w:rPr>
        <w:t xml:space="preserve"> vývoje počtu obyvatel v %, 2008 - 2017</w:t>
      </w:r>
    </w:p>
    <w:p w:rsidR="009B1EA0" w:rsidRPr="009201EF" w:rsidRDefault="009B1EA0" w:rsidP="009B1EA0">
      <w:pPr>
        <w:spacing w:after="0" w:line="240" w:lineRule="auto"/>
        <w:rPr>
          <w:rFonts w:ascii="Times New Roman" w:hAnsi="Times New Roman" w:cs="Times New Roman"/>
        </w:rPr>
      </w:pPr>
      <w:r>
        <w:rPr>
          <w:noProof/>
          <w:lang w:eastAsia="cs-CZ"/>
        </w:rPr>
        <w:drawing>
          <wp:inline distT="0" distB="0" distL="0" distR="0" wp14:anchorId="691610AF" wp14:editId="0E8AF939">
            <wp:extent cx="5753100" cy="2981325"/>
            <wp:effectExtent l="76200" t="57150" r="76200" b="857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1EA0" w:rsidRPr="009201EF" w:rsidRDefault="009B1EA0" w:rsidP="009B1EA0">
      <w:pPr>
        <w:rPr>
          <w:rFonts w:ascii="Times New Roman" w:hAnsi="Times New Roman" w:cs="Times New Roman"/>
          <w:sz w:val="18"/>
        </w:rPr>
      </w:pPr>
      <w:r w:rsidRPr="009201EF">
        <w:rPr>
          <w:rFonts w:ascii="Times New Roman" w:hAnsi="Times New Roman" w:cs="Times New Roman"/>
          <w:sz w:val="18"/>
        </w:rPr>
        <w:t>Zdroj: ČSÚ, vlastní zpracování</w:t>
      </w:r>
    </w:p>
    <w:p w:rsidR="009B1EA0" w:rsidRPr="009201EF" w:rsidRDefault="009B1EA0" w:rsidP="009B1EA0">
      <w:pPr>
        <w:spacing w:after="0"/>
        <w:jc w:val="both"/>
        <w:rPr>
          <w:rFonts w:ascii="Times New Roman" w:hAnsi="Times New Roman" w:cs="Times New Roman"/>
        </w:rPr>
      </w:pPr>
      <w:r w:rsidRPr="009201EF">
        <w:rPr>
          <w:rFonts w:ascii="Times New Roman" w:hAnsi="Times New Roman" w:cs="Times New Roman"/>
        </w:rPr>
        <w:t>V</w:t>
      </w:r>
      <w:r>
        <w:rPr>
          <w:rFonts w:ascii="Times New Roman" w:hAnsi="Times New Roman" w:cs="Times New Roman"/>
        </w:rPr>
        <w:t> grafu je zachycen vývoj</w:t>
      </w:r>
      <w:r w:rsidRPr="009201EF">
        <w:rPr>
          <w:rFonts w:ascii="Times New Roman" w:hAnsi="Times New Roman" w:cs="Times New Roman"/>
        </w:rPr>
        <w:t xml:space="preserve"> celkového počtu obyvatel</w:t>
      </w:r>
      <w:r>
        <w:rPr>
          <w:rFonts w:ascii="Times New Roman" w:hAnsi="Times New Roman" w:cs="Times New Roman"/>
        </w:rPr>
        <w:t>, který je počítán k výchozímu roku 2008.  Výchozí</w:t>
      </w:r>
      <w:r w:rsidRPr="009201EF">
        <w:rPr>
          <w:rFonts w:ascii="Times New Roman" w:hAnsi="Times New Roman" w:cs="Times New Roman"/>
        </w:rPr>
        <w:t xml:space="preserve"> rok</w:t>
      </w:r>
      <w:r>
        <w:rPr>
          <w:rFonts w:ascii="Times New Roman" w:hAnsi="Times New Roman" w:cs="Times New Roman"/>
        </w:rPr>
        <w:t xml:space="preserve"> je</w:t>
      </w:r>
      <w:r w:rsidRPr="009201EF">
        <w:rPr>
          <w:rFonts w:ascii="Times New Roman" w:hAnsi="Times New Roman" w:cs="Times New Roman"/>
        </w:rPr>
        <w:t xml:space="preserve"> znázorněn hodnotou 100% a v absolu</w:t>
      </w:r>
      <w:r>
        <w:rPr>
          <w:rFonts w:ascii="Times New Roman" w:hAnsi="Times New Roman" w:cs="Times New Roman"/>
        </w:rPr>
        <w:t xml:space="preserve">tním vyjádření odpovídá hodnotě 546 </w:t>
      </w:r>
      <w:r w:rsidRPr="009201EF">
        <w:rPr>
          <w:rFonts w:ascii="Times New Roman" w:hAnsi="Times New Roman" w:cs="Times New Roman"/>
        </w:rPr>
        <w:t xml:space="preserve">obyvatel. </w:t>
      </w:r>
    </w:p>
    <w:p w:rsidR="009B1EA0" w:rsidRPr="009201EF" w:rsidRDefault="009B1EA0" w:rsidP="009B1EA0">
      <w:pPr>
        <w:spacing w:after="0"/>
        <w:jc w:val="both"/>
        <w:rPr>
          <w:rFonts w:ascii="Times New Roman" w:hAnsi="Times New Roman" w:cs="Times New Roman"/>
        </w:rPr>
      </w:pPr>
      <w:r w:rsidRPr="009201EF">
        <w:rPr>
          <w:rFonts w:ascii="Times New Roman" w:hAnsi="Times New Roman" w:cs="Times New Roman"/>
        </w:rPr>
        <w:t xml:space="preserve">   </w:t>
      </w:r>
    </w:p>
    <w:p w:rsidR="009B1EA0" w:rsidRDefault="009B1EA0" w:rsidP="009B1EA0">
      <w:pPr>
        <w:jc w:val="both"/>
        <w:rPr>
          <w:rFonts w:ascii="Times New Roman" w:hAnsi="Times New Roman" w:cs="Times New Roman"/>
        </w:rPr>
      </w:pPr>
      <w:r w:rsidRPr="009201EF">
        <w:rPr>
          <w:rFonts w:ascii="Times New Roman" w:hAnsi="Times New Roman" w:cs="Times New Roman"/>
        </w:rPr>
        <w:t>Celkový vývoj obyvatelstva ovlivňují dvě základní složky tohoto ukazatele. První se týká mechanického pohybu obyvatel (vystěhovalí, přistěhovalí) a druhá přirozené měn</w:t>
      </w:r>
      <w:r>
        <w:rPr>
          <w:rFonts w:ascii="Times New Roman" w:hAnsi="Times New Roman" w:cs="Times New Roman"/>
        </w:rPr>
        <w:t>y obyvatel (narození, zemřelí).</w:t>
      </w:r>
    </w:p>
    <w:p w:rsidR="009B1EA0" w:rsidRDefault="009B1EA0" w:rsidP="009B1EA0">
      <w:pPr>
        <w:spacing w:after="0" w:line="240" w:lineRule="auto"/>
        <w:rPr>
          <w:rFonts w:ascii="Times New Roman" w:hAnsi="Times New Roman" w:cs="Times New Roman"/>
        </w:rPr>
      </w:pPr>
    </w:p>
    <w:p w:rsidR="009B1EA0" w:rsidRDefault="009B1EA0" w:rsidP="009B1EA0">
      <w:pPr>
        <w:spacing w:after="0" w:line="240" w:lineRule="auto"/>
        <w:rPr>
          <w:rFonts w:ascii="Times New Roman" w:hAnsi="Times New Roman" w:cs="Times New Roman"/>
          <w:sz w:val="18"/>
        </w:rPr>
      </w:pPr>
    </w:p>
    <w:p w:rsidR="009B1EA0" w:rsidRPr="009201EF" w:rsidRDefault="009B1EA0" w:rsidP="009B1EA0">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a struktu</w:t>
      </w:r>
      <w:r>
        <w:rPr>
          <w:rFonts w:ascii="Times New Roman" w:hAnsi="Times New Roman" w:cs="Times New Roman"/>
          <w:sz w:val="18"/>
        </w:rPr>
        <w:t>ra celkového přírůstku obyvatel</w:t>
      </w:r>
      <w:r w:rsidRPr="009201EF">
        <w:rPr>
          <w:rFonts w:ascii="Times New Roman" w:hAnsi="Times New Roman" w:cs="Times New Roman"/>
          <w:sz w:val="18"/>
        </w:rPr>
        <w:t xml:space="preserve"> v absolutních hodnotách</w:t>
      </w:r>
      <w:r>
        <w:rPr>
          <w:rFonts w:ascii="Times New Roman" w:hAnsi="Times New Roman" w:cs="Times New Roman"/>
          <w:sz w:val="18"/>
        </w:rPr>
        <w:t>, 2008 - 2017</w:t>
      </w:r>
    </w:p>
    <w:p w:rsidR="009B1EA0" w:rsidRPr="009201EF" w:rsidRDefault="009B1EA0" w:rsidP="009B1EA0">
      <w:pPr>
        <w:spacing w:after="0" w:line="240" w:lineRule="auto"/>
        <w:rPr>
          <w:rFonts w:ascii="Times New Roman" w:hAnsi="Times New Roman" w:cs="Times New Roman"/>
        </w:rPr>
      </w:pPr>
      <w:r>
        <w:rPr>
          <w:noProof/>
          <w:lang w:eastAsia="cs-CZ"/>
        </w:rPr>
        <w:lastRenderedPageBreak/>
        <w:drawing>
          <wp:inline distT="0" distB="0" distL="0" distR="0" wp14:anchorId="0487A58D" wp14:editId="62E6BB48">
            <wp:extent cx="5762625" cy="2247900"/>
            <wp:effectExtent l="76200" t="57150" r="66675" b="9525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1EA0" w:rsidRPr="00865187" w:rsidRDefault="009B1EA0" w:rsidP="009B1EA0">
      <w:pPr>
        <w:spacing w:line="240" w:lineRule="auto"/>
        <w:rPr>
          <w:rFonts w:ascii="Times New Roman" w:hAnsi="Times New Roman" w:cs="Times New Roman"/>
          <w:sz w:val="18"/>
        </w:rPr>
      </w:pPr>
      <w:r>
        <w:rPr>
          <w:rFonts w:ascii="Times New Roman" w:hAnsi="Times New Roman" w:cs="Times New Roman"/>
          <w:sz w:val="18"/>
        </w:rPr>
        <w:t>Zdroj: ČSÚ, vlastní zpracování</w:t>
      </w:r>
    </w:p>
    <w:p w:rsidR="009B1EA0" w:rsidRDefault="009B1EA0" w:rsidP="009B1EA0">
      <w:pPr>
        <w:jc w:val="both"/>
        <w:rPr>
          <w:rFonts w:ascii="Times New Roman" w:hAnsi="Times New Roman" w:cs="Times New Roman"/>
        </w:rPr>
      </w:pPr>
      <w:r>
        <w:rPr>
          <w:rFonts w:ascii="Times New Roman" w:hAnsi="Times New Roman" w:cs="Times New Roman"/>
        </w:rPr>
        <w:t xml:space="preserve">Dominantní složkou, která má vliv na vývoj počtu obyvatel (celkový počet a jeho výkyvy), jsou migrační přírůstky/úbytky obyvatel. Ve sledovaném období dosahuje migrační saldo záporné hodnoty v 7 z 10 sledovaných let, přičemž největší ztráta obyvatel stěhováním je patrná v období let 2009–2010 (celkem ztráta 31 obyvatel), roční průměrná ztráta stěhováním je pak na hodnotě 2 obyvatel. Přirozený přírůstek obyvatel se dlouhodobě pohybuje pod nulovou linií a ve sledované dekádě dosáhla roční průměrná ztráta 1 až 2 obyvatelů. Celkový vývoj počtu obyvatel je pak v průměrné hodnotě s roční ztrátou 3 až 4 obyvatelé.  </w:t>
      </w:r>
    </w:p>
    <w:p w:rsidR="009B1EA0" w:rsidRDefault="009B1EA0" w:rsidP="009B1EA0">
      <w:pPr>
        <w:jc w:val="both"/>
        <w:rPr>
          <w:rFonts w:ascii="Times New Roman" w:hAnsi="Times New Roman" w:cs="Times New Roman"/>
        </w:rPr>
      </w:pPr>
    </w:p>
    <w:p w:rsidR="009B1EA0" w:rsidRDefault="009B1EA0" w:rsidP="009B1EA0">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Přehled údajů za přirozený a mechanic</w:t>
      </w:r>
      <w:r>
        <w:rPr>
          <w:rFonts w:ascii="Times New Roman" w:hAnsi="Times New Roman" w:cs="Times New Roman"/>
          <w:sz w:val="18"/>
        </w:rPr>
        <w:t>ký pohyb obyvatel mezi roky 2008 – 2017</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753"/>
        <w:gridCol w:w="1038"/>
        <w:gridCol w:w="1038"/>
        <w:gridCol w:w="1038"/>
        <w:gridCol w:w="1039"/>
        <w:gridCol w:w="1039"/>
        <w:gridCol w:w="1039"/>
        <w:gridCol w:w="1039"/>
        <w:gridCol w:w="1039"/>
      </w:tblGrid>
      <w:tr w:rsidR="009B1EA0" w:rsidRPr="00EE03E7" w:rsidTr="00FC2E01">
        <w:trPr>
          <w:trHeight w:val="510"/>
        </w:trPr>
        <w:tc>
          <w:tcPr>
            <w:tcW w:w="416"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Rok</w:t>
            </w:r>
          </w:p>
        </w:tc>
        <w:tc>
          <w:tcPr>
            <w:tcW w:w="573"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Narození</w:t>
            </w:r>
          </w:p>
        </w:tc>
        <w:tc>
          <w:tcPr>
            <w:tcW w:w="573"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Zemřelí</w:t>
            </w:r>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proofErr w:type="spellStart"/>
            <w:r w:rsidRPr="00EE03E7">
              <w:rPr>
                <w:rFonts w:ascii="Times New Roman" w:eastAsia="Times New Roman" w:hAnsi="Times New Roman" w:cs="Times New Roman"/>
                <w:b/>
                <w:bCs/>
                <w:color w:val="FFFFFF"/>
                <w:sz w:val="20"/>
                <w:szCs w:val="20"/>
                <w:lang w:eastAsia="cs-CZ"/>
              </w:rPr>
              <w:t>Přistě</w:t>
            </w:r>
            <w:proofErr w:type="spellEnd"/>
            <w:r w:rsidRPr="00EE03E7">
              <w:rPr>
                <w:rFonts w:ascii="Times New Roman" w:eastAsia="Times New Roman" w:hAnsi="Times New Roman" w:cs="Times New Roman"/>
                <w:b/>
                <w:bCs/>
                <w:color w:val="FFFFFF"/>
                <w:sz w:val="20"/>
                <w:szCs w:val="20"/>
                <w:lang w:eastAsia="cs-CZ"/>
              </w:rPr>
              <w:t>-</w:t>
            </w:r>
            <w:r w:rsidRPr="00EE03E7">
              <w:rPr>
                <w:rFonts w:ascii="Times New Roman" w:eastAsia="Times New Roman" w:hAnsi="Times New Roman" w:cs="Times New Roman"/>
                <w:b/>
                <w:bCs/>
                <w:color w:val="FFFFFF"/>
                <w:sz w:val="20"/>
                <w:szCs w:val="20"/>
                <w:lang w:eastAsia="cs-CZ"/>
              </w:rPr>
              <w:br/>
            </w:r>
            <w:proofErr w:type="spellStart"/>
            <w:r w:rsidRPr="00EE03E7">
              <w:rPr>
                <w:rFonts w:ascii="Times New Roman" w:eastAsia="Times New Roman" w:hAnsi="Times New Roman" w:cs="Times New Roman"/>
                <w:b/>
                <w:bCs/>
                <w:color w:val="FFFFFF"/>
                <w:sz w:val="20"/>
                <w:szCs w:val="20"/>
                <w:lang w:eastAsia="cs-CZ"/>
              </w:rPr>
              <w:t>hovalí</w:t>
            </w:r>
            <w:proofErr w:type="spellEnd"/>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proofErr w:type="spellStart"/>
            <w:r w:rsidRPr="00EE03E7">
              <w:rPr>
                <w:rFonts w:ascii="Times New Roman" w:eastAsia="Times New Roman" w:hAnsi="Times New Roman" w:cs="Times New Roman"/>
                <w:b/>
                <w:bCs/>
                <w:color w:val="FFFFFF"/>
                <w:sz w:val="20"/>
                <w:szCs w:val="20"/>
                <w:lang w:eastAsia="cs-CZ"/>
              </w:rPr>
              <w:t>Vystě</w:t>
            </w:r>
            <w:proofErr w:type="spellEnd"/>
            <w:r w:rsidRPr="00EE03E7">
              <w:rPr>
                <w:rFonts w:ascii="Times New Roman" w:eastAsia="Times New Roman" w:hAnsi="Times New Roman" w:cs="Times New Roman"/>
                <w:b/>
                <w:bCs/>
                <w:color w:val="FFFFFF"/>
                <w:sz w:val="20"/>
                <w:szCs w:val="20"/>
                <w:lang w:eastAsia="cs-CZ"/>
              </w:rPr>
              <w:t>-</w:t>
            </w:r>
            <w:r w:rsidRPr="00EE03E7">
              <w:rPr>
                <w:rFonts w:ascii="Times New Roman" w:eastAsia="Times New Roman" w:hAnsi="Times New Roman" w:cs="Times New Roman"/>
                <w:b/>
                <w:bCs/>
                <w:color w:val="FFFFFF"/>
                <w:sz w:val="20"/>
                <w:szCs w:val="20"/>
                <w:lang w:eastAsia="cs-CZ"/>
              </w:rPr>
              <w:br/>
            </w:r>
            <w:proofErr w:type="spellStart"/>
            <w:r w:rsidRPr="00EE03E7">
              <w:rPr>
                <w:rFonts w:ascii="Times New Roman" w:eastAsia="Times New Roman" w:hAnsi="Times New Roman" w:cs="Times New Roman"/>
                <w:b/>
                <w:bCs/>
                <w:color w:val="FFFFFF"/>
                <w:sz w:val="20"/>
                <w:szCs w:val="20"/>
                <w:lang w:eastAsia="cs-CZ"/>
              </w:rPr>
              <w:t>hovalí</w:t>
            </w:r>
            <w:proofErr w:type="spellEnd"/>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Přírůstek přirozený</w:t>
            </w:r>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Přírůstek migrační</w:t>
            </w:r>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Přírůstek celkový</w:t>
            </w:r>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Stav 31.12.</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2008</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26</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546</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2009</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8</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29</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524</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2010</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-10</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513</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2011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507</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2012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18</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-8</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499</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2013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494</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2014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16</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8</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502</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2015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19</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507</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2016</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9</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0</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504</w:t>
            </w:r>
          </w:p>
        </w:tc>
      </w:tr>
      <w:tr w:rsidR="009B1EA0" w:rsidRPr="00EE03E7" w:rsidTr="00FC2E01">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2017</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17</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497</w:t>
            </w:r>
          </w:p>
        </w:tc>
      </w:tr>
    </w:tbl>
    <w:p w:rsidR="009B1EA0" w:rsidRDefault="009B1EA0" w:rsidP="009B1EA0">
      <w:pPr>
        <w:spacing w:after="0" w:line="240" w:lineRule="auto"/>
        <w:rPr>
          <w:rFonts w:ascii="Times New Roman" w:hAnsi="Times New Roman" w:cs="Times New Roman"/>
          <w:sz w:val="18"/>
        </w:rPr>
      </w:pPr>
    </w:p>
    <w:p w:rsidR="009B1EA0" w:rsidRPr="00EE03E7" w:rsidRDefault="009B1EA0" w:rsidP="009B1EA0">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w:t>
      </w:r>
      <w:r>
        <w:rPr>
          <w:rFonts w:ascii="Times New Roman" w:hAnsi="Times New Roman" w:cs="Times New Roman"/>
          <w:sz w:val="18"/>
        </w:rPr>
        <w:t>í</w:t>
      </w:r>
    </w:p>
    <w:p w:rsidR="009B1EA0" w:rsidRDefault="009B1EA0" w:rsidP="009B1EA0">
      <w:pPr>
        <w:jc w:val="both"/>
        <w:rPr>
          <w:rFonts w:ascii="Times New Roman" w:hAnsi="Times New Roman" w:cs="Times New Roman"/>
        </w:rPr>
      </w:pPr>
      <w:r>
        <w:rPr>
          <w:rFonts w:ascii="Times New Roman" w:hAnsi="Times New Roman" w:cs="Times New Roman"/>
        </w:rPr>
        <w:t>Přirozený přírůstek je výsledkem procesu rození a vymírání obyvatel. Z vývoje narozených je zřejmé ustálení hodnot kolem průměrné hodnoty 4 - obyvatel/rok. U zemřelých je pak tato průměrná hodnota rovna 6 obyvatelům/rok. Tento vývoj budou v dalších letech ovlivňovat  trendy v oblasti reprodukčního chování obyvatel ČR, dle kterých nelze předpokládat větší pozitivní výkyvy u narozených, spíše se bude jednat o mírný pokles. To stejné již neplatí pro hodnoty zemřelých, u kterých lze očekávat negativní výkyvy zapříčiněné silnými demografickými vlnami poválečných ročníků, které budou mít přímý vliv na záporné hodnoty přirozeného přírůstku.</w:t>
      </w:r>
    </w:p>
    <w:p w:rsidR="009B1EA0" w:rsidRDefault="009B1EA0" w:rsidP="009B1EA0">
      <w:pPr>
        <w:jc w:val="both"/>
        <w:rPr>
          <w:rFonts w:ascii="Times New Roman" w:hAnsi="Times New Roman" w:cs="Times New Roman"/>
        </w:rPr>
      </w:pPr>
      <w:r>
        <w:rPr>
          <w:rFonts w:ascii="Times New Roman" w:hAnsi="Times New Roman" w:cs="Times New Roman"/>
        </w:rPr>
        <w:t xml:space="preserve">       </w:t>
      </w:r>
    </w:p>
    <w:p w:rsidR="009B1EA0" w:rsidRDefault="009B1EA0" w:rsidP="009B1EA0">
      <w:pPr>
        <w:jc w:val="both"/>
        <w:rPr>
          <w:rFonts w:ascii="Times New Roman" w:hAnsi="Times New Roman" w:cs="Times New Roman"/>
        </w:rPr>
      </w:pPr>
    </w:p>
    <w:p w:rsidR="009B1EA0" w:rsidRPr="00E60A4D" w:rsidRDefault="009B1EA0" w:rsidP="009B1EA0">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lastRenderedPageBreak/>
        <w:t>Věková struktura obyvatelstva</w:t>
      </w:r>
    </w:p>
    <w:p w:rsidR="009B1EA0" w:rsidRPr="009201EF" w:rsidRDefault="009B1EA0" w:rsidP="009B1EA0">
      <w:pPr>
        <w:spacing w:after="0"/>
        <w:jc w:val="both"/>
        <w:rPr>
          <w:rFonts w:ascii="Times New Roman" w:hAnsi="Times New Roman" w:cs="Times New Roman"/>
        </w:rPr>
      </w:pPr>
      <w:r>
        <w:rPr>
          <w:rFonts w:ascii="Times New Roman" w:hAnsi="Times New Roman" w:cs="Times New Roman"/>
        </w:rPr>
        <w:t>Věková struktura je sledována na základních</w:t>
      </w:r>
      <w:r w:rsidRPr="009201EF">
        <w:rPr>
          <w:rFonts w:ascii="Times New Roman" w:hAnsi="Times New Roman" w:cs="Times New Roman"/>
        </w:rPr>
        <w:t xml:space="preserve"> věkových skupin</w:t>
      </w:r>
      <w:r>
        <w:rPr>
          <w:rFonts w:ascii="Times New Roman" w:hAnsi="Times New Roman" w:cs="Times New Roman"/>
        </w:rPr>
        <w:t>ách</w:t>
      </w:r>
      <w:r w:rsidRPr="009201EF">
        <w:rPr>
          <w:rFonts w:ascii="Times New Roman" w:hAnsi="Times New Roman" w:cs="Times New Roman"/>
        </w:rPr>
        <w:t>, které jsou svým rozložením ekonomické povahy. Jedná se o složku tzv. předproduktivní 0 až 14 let, produktivní 15 až 64 let</w:t>
      </w:r>
      <w:r>
        <w:rPr>
          <w:rFonts w:ascii="Times New Roman" w:hAnsi="Times New Roman" w:cs="Times New Roman"/>
        </w:rPr>
        <w:t xml:space="preserve"> a poproduktivní 65 let a více. </w:t>
      </w:r>
      <w:r w:rsidRPr="009201EF">
        <w:rPr>
          <w:rFonts w:ascii="Times New Roman" w:hAnsi="Times New Roman" w:cs="Times New Roman"/>
        </w:rPr>
        <w:t>Pro</w:t>
      </w:r>
      <w:r>
        <w:rPr>
          <w:rFonts w:ascii="Times New Roman" w:hAnsi="Times New Roman" w:cs="Times New Roman"/>
        </w:rPr>
        <w:t xml:space="preserve"> sledování vývoje</w:t>
      </w:r>
      <w:r w:rsidRPr="009201EF">
        <w:rPr>
          <w:rFonts w:ascii="Times New Roman" w:hAnsi="Times New Roman" w:cs="Times New Roman"/>
        </w:rPr>
        <w:t xml:space="preserve"> </w:t>
      </w:r>
      <w:r>
        <w:rPr>
          <w:rFonts w:ascii="Times New Roman" w:hAnsi="Times New Roman" w:cs="Times New Roman"/>
        </w:rPr>
        <w:t>jsou použity</w:t>
      </w:r>
      <w:r w:rsidRPr="009201EF">
        <w:rPr>
          <w:rFonts w:ascii="Times New Roman" w:hAnsi="Times New Roman" w:cs="Times New Roman"/>
        </w:rPr>
        <w:t xml:space="preserve"> milníky</w:t>
      </w:r>
      <w:r>
        <w:rPr>
          <w:rFonts w:ascii="Times New Roman" w:hAnsi="Times New Roman" w:cs="Times New Roman"/>
        </w:rPr>
        <w:t xml:space="preserve"> SLDB 2001, 2011 a aktuálně rok 2017</w:t>
      </w:r>
      <w:r w:rsidRPr="009201EF">
        <w:rPr>
          <w:rFonts w:ascii="Times New Roman" w:hAnsi="Times New Roman" w:cs="Times New Roman"/>
        </w:rPr>
        <w:t xml:space="preserve">. </w:t>
      </w:r>
    </w:p>
    <w:p w:rsidR="009B1EA0" w:rsidRPr="009201EF" w:rsidRDefault="009B1EA0" w:rsidP="009B1EA0">
      <w:pPr>
        <w:spacing w:after="0" w:line="240" w:lineRule="auto"/>
        <w:jc w:val="both"/>
        <w:rPr>
          <w:rFonts w:ascii="Times New Roman" w:hAnsi="Times New Roman" w:cs="Times New Roman"/>
        </w:rPr>
      </w:pPr>
    </w:p>
    <w:p w:rsidR="009B1EA0" w:rsidRDefault="009B1EA0" w:rsidP="009B1EA0">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Územn</w:t>
      </w:r>
      <w:r>
        <w:rPr>
          <w:rFonts w:ascii="Times New Roman" w:hAnsi="Times New Roman" w:cs="Times New Roman"/>
          <w:sz w:val="18"/>
        </w:rPr>
        <w:t>í srovnání vývoje dle produktivních</w:t>
      </w:r>
      <w:r w:rsidRPr="009201EF">
        <w:rPr>
          <w:rFonts w:ascii="Times New Roman" w:hAnsi="Times New Roman" w:cs="Times New Roman"/>
          <w:sz w:val="18"/>
        </w:rPr>
        <w:t xml:space="preserve"> věkových </w:t>
      </w:r>
      <w:r>
        <w:rPr>
          <w:rFonts w:ascii="Times New Roman" w:hAnsi="Times New Roman" w:cs="Times New Roman"/>
          <w:sz w:val="18"/>
        </w:rPr>
        <w:t>skupin a pohlaví v letech 2001, 2011, 2017</w:t>
      </w:r>
    </w:p>
    <w:tbl>
      <w:tblPr>
        <w:tblW w:w="5000" w:type="pct"/>
        <w:tblCellMar>
          <w:left w:w="70" w:type="dxa"/>
          <w:right w:w="70" w:type="dxa"/>
        </w:tblCellMar>
        <w:tblLook w:val="04A0" w:firstRow="1" w:lastRow="0" w:firstColumn="1" w:lastColumn="0" w:noHBand="0" w:noVBand="1"/>
      </w:tblPr>
      <w:tblGrid>
        <w:gridCol w:w="2024"/>
        <w:gridCol w:w="778"/>
        <w:gridCol w:w="951"/>
        <w:gridCol w:w="602"/>
        <w:gridCol w:w="779"/>
        <w:gridCol w:w="951"/>
        <w:gridCol w:w="602"/>
        <w:gridCol w:w="794"/>
        <w:gridCol w:w="968"/>
        <w:gridCol w:w="613"/>
      </w:tblGrid>
      <w:tr w:rsidR="009B1EA0" w:rsidRPr="00EE03E7" w:rsidTr="00FC2E01">
        <w:trPr>
          <w:trHeight w:val="255"/>
        </w:trPr>
        <w:tc>
          <w:tcPr>
            <w:tcW w:w="728"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Rok</w:t>
            </w:r>
          </w:p>
        </w:tc>
        <w:tc>
          <w:tcPr>
            <w:tcW w:w="1416"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2001</w:t>
            </w:r>
          </w:p>
        </w:tc>
        <w:tc>
          <w:tcPr>
            <w:tcW w:w="1416"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2011</w:t>
            </w:r>
          </w:p>
        </w:tc>
        <w:tc>
          <w:tcPr>
            <w:tcW w:w="1439"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2017</w:t>
            </w:r>
          </w:p>
        </w:tc>
      </w:tr>
      <w:tr w:rsidR="009B1EA0" w:rsidRPr="00EE03E7" w:rsidTr="00FC2E01">
        <w:trPr>
          <w:trHeight w:val="255"/>
        </w:trPr>
        <w:tc>
          <w:tcPr>
            <w:tcW w:w="728" w:type="pct"/>
            <w:vMerge/>
            <w:tcBorders>
              <w:top w:val="single" w:sz="4" w:space="0" w:color="auto"/>
              <w:left w:val="single" w:sz="4" w:space="0" w:color="auto"/>
              <w:bottom w:val="single" w:sz="4" w:space="0" w:color="auto"/>
              <w:right w:val="single" w:sz="4" w:space="0" w:color="auto"/>
            </w:tcBorders>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p>
        </w:tc>
        <w:tc>
          <w:tcPr>
            <w:tcW w:w="473"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0 - 14</w:t>
            </w:r>
          </w:p>
        </w:tc>
        <w:tc>
          <w:tcPr>
            <w:tcW w:w="568"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15 - 64</w:t>
            </w:r>
          </w:p>
        </w:tc>
        <w:tc>
          <w:tcPr>
            <w:tcW w:w="375"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65 +</w:t>
            </w:r>
          </w:p>
        </w:tc>
        <w:tc>
          <w:tcPr>
            <w:tcW w:w="473"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0 - 14</w:t>
            </w:r>
          </w:p>
        </w:tc>
        <w:tc>
          <w:tcPr>
            <w:tcW w:w="568"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15 - 64</w:t>
            </w:r>
          </w:p>
        </w:tc>
        <w:tc>
          <w:tcPr>
            <w:tcW w:w="375"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65 +</w:t>
            </w:r>
          </w:p>
        </w:tc>
        <w:tc>
          <w:tcPr>
            <w:tcW w:w="481"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0 - 14</w:t>
            </w:r>
          </w:p>
        </w:tc>
        <w:tc>
          <w:tcPr>
            <w:tcW w:w="577"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15 - 64</w:t>
            </w:r>
          </w:p>
        </w:tc>
        <w:tc>
          <w:tcPr>
            <w:tcW w:w="381"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65 +</w:t>
            </w:r>
          </w:p>
        </w:tc>
      </w:tr>
      <w:tr w:rsidR="009B1EA0" w:rsidRPr="00EE03E7" w:rsidTr="00FC2E01">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Zlatá Olešnice</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96</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361</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70</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68</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355</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84</w:t>
            </w:r>
          </w:p>
        </w:tc>
        <w:tc>
          <w:tcPr>
            <w:tcW w:w="4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64</w:t>
            </w:r>
          </w:p>
        </w:tc>
        <w:tc>
          <w:tcPr>
            <w:tcW w:w="577"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332</w:t>
            </w:r>
          </w:p>
        </w:tc>
        <w:tc>
          <w:tcPr>
            <w:tcW w:w="3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101</w:t>
            </w:r>
          </w:p>
        </w:tc>
      </w:tr>
      <w:tr w:rsidR="009B1EA0" w:rsidRPr="00EE03E7" w:rsidTr="00FC2E01">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Muži</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47</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182</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27</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35</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182</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37</w:t>
            </w:r>
          </w:p>
        </w:tc>
        <w:tc>
          <w:tcPr>
            <w:tcW w:w="4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33</w:t>
            </w:r>
          </w:p>
        </w:tc>
        <w:tc>
          <w:tcPr>
            <w:tcW w:w="577"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169</w:t>
            </w:r>
          </w:p>
        </w:tc>
        <w:tc>
          <w:tcPr>
            <w:tcW w:w="3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44</w:t>
            </w:r>
          </w:p>
        </w:tc>
      </w:tr>
      <w:tr w:rsidR="009B1EA0" w:rsidRPr="00EE03E7" w:rsidTr="00FC2E01">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Ženy</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49</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179</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43</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33</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173</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47</w:t>
            </w:r>
          </w:p>
        </w:tc>
        <w:tc>
          <w:tcPr>
            <w:tcW w:w="4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31</w:t>
            </w:r>
          </w:p>
        </w:tc>
        <w:tc>
          <w:tcPr>
            <w:tcW w:w="577"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163</w:t>
            </w:r>
          </w:p>
        </w:tc>
        <w:tc>
          <w:tcPr>
            <w:tcW w:w="3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57</w:t>
            </w:r>
          </w:p>
        </w:tc>
      </w:tr>
      <w:tr w:rsidR="009B1EA0" w:rsidRPr="00EE03E7" w:rsidTr="00FC2E01">
        <w:trPr>
          <w:trHeight w:val="227"/>
        </w:trPr>
        <w:tc>
          <w:tcPr>
            <w:tcW w:w="728" w:type="pct"/>
            <w:tcBorders>
              <w:top w:val="nil"/>
              <w:left w:val="single" w:sz="4" w:space="0" w:color="auto"/>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Územní srovnání</w:t>
            </w:r>
          </w:p>
        </w:tc>
        <w:tc>
          <w:tcPr>
            <w:tcW w:w="473"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0 - 14</w:t>
            </w:r>
          </w:p>
        </w:tc>
        <w:tc>
          <w:tcPr>
            <w:tcW w:w="568"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15 - 64</w:t>
            </w:r>
          </w:p>
        </w:tc>
        <w:tc>
          <w:tcPr>
            <w:tcW w:w="375"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65 +</w:t>
            </w:r>
          </w:p>
        </w:tc>
        <w:tc>
          <w:tcPr>
            <w:tcW w:w="473"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0 - 14</w:t>
            </w:r>
          </w:p>
        </w:tc>
        <w:tc>
          <w:tcPr>
            <w:tcW w:w="568"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15 - 64</w:t>
            </w:r>
          </w:p>
        </w:tc>
        <w:tc>
          <w:tcPr>
            <w:tcW w:w="375"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65 +</w:t>
            </w:r>
          </w:p>
        </w:tc>
        <w:tc>
          <w:tcPr>
            <w:tcW w:w="481"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0 - 14</w:t>
            </w:r>
          </w:p>
        </w:tc>
        <w:tc>
          <w:tcPr>
            <w:tcW w:w="577"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15 - 64</w:t>
            </w:r>
          </w:p>
        </w:tc>
        <w:tc>
          <w:tcPr>
            <w:tcW w:w="381" w:type="pct"/>
            <w:tcBorders>
              <w:top w:val="nil"/>
              <w:left w:val="nil"/>
              <w:bottom w:val="single" w:sz="4" w:space="0" w:color="auto"/>
              <w:right w:val="single" w:sz="4" w:space="0" w:color="auto"/>
            </w:tcBorders>
            <w:shd w:val="clear" w:color="000000" w:fill="1F497D"/>
            <w:noWrap/>
            <w:vAlign w:val="center"/>
            <w:hideMark/>
          </w:tcPr>
          <w:p w:rsidR="009B1EA0" w:rsidRPr="00EE03E7"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EE03E7">
              <w:rPr>
                <w:rFonts w:ascii="Times New Roman" w:eastAsia="Times New Roman" w:hAnsi="Times New Roman" w:cs="Times New Roman"/>
                <w:b/>
                <w:bCs/>
                <w:color w:val="FFFFFF"/>
                <w:sz w:val="20"/>
                <w:szCs w:val="20"/>
                <w:lang w:eastAsia="cs-CZ"/>
              </w:rPr>
              <w:t>65 +</w:t>
            </w:r>
          </w:p>
        </w:tc>
      </w:tr>
      <w:tr w:rsidR="009B1EA0" w:rsidRPr="00EE03E7" w:rsidTr="00FC2E01">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Zlatá Olešnice (%)</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18,2</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68,5</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13,3</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13,4</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70,0</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16,6</w:t>
            </w:r>
          </w:p>
        </w:tc>
        <w:tc>
          <w:tcPr>
            <w:tcW w:w="4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12,9</w:t>
            </w:r>
          </w:p>
        </w:tc>
        <w:tc>
          <w:tcPr>
            <w:tcW w:w="577"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66,8</w:t>
            </w:r>
          </w:p>
        </w:tc>
        <w:tc>
          <w:tcPr>
            <w:tcW w:w="3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20,3</w:t>
            </w:r>
          </w:p>
        </w:tc>
      </w:tr>
      <w:tr w:rsidR="009B1EA0" w:rsidRPr="00EE03E7" w:rsidTr="00FC2E01">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rPr>
                <w:rFonts w:ascii="Times New Roman" w:eastAsia="Times New Roman" w:hAnsi="Times New Roman" w:cs="Times New Roman"/>
                <w:b/>
                <w:bCs/>
                <w:color w:val="000000"/>
                <w:sz w:val="20"/>
                <w:szCs w:val="20"/>
                <w:lang w:eastAsia="cs-CZ"/>
              </w:rPr>
            </w:pPr>
            <w:r w:rsidRPr="00EE03E7">
              <w:rPr>
                <w:rFonts w:ascii="Times New Roman" w:eastAsia="Times New Roman" w:hAnsi="Times New Roman" w:cs="Times New Roman"/>
                <w:b/>
                <w:bCs/>
                <w:color w:val="000000"/>
                <w:sz w:val="20"/>
                <w:szCs w:val="20"/>
                <w:lang w:eastAsia="cs-CZ"/>
              </w:rPr>
              <w:t>SO ORP Tanvald (%)</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16,6</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71,1</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12,4</w:t>
            </w:r>
          </w:p>
        </w:tc>
        <w:tc>
          <w:tcPr>
            <w:tcW w:w="473"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14,7</w:t>
            </w:r>
          </w:p>
        </w:tc>
        <w:tc>
          <w:tcPr>
            <w:tcW w:w="568"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69,1</w:t>
            </w:r>
          </w:p>
        </w:tc>
        <w:tc>
          <w:tcPr>
            <w:tcW w:w="375"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16,2</w:t>
            </w:r>
          </w:p>
        </w:tc>
        <w:tc>
          <w:tcPr>
            <w:tcW w:w="4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14,6</w:t>
            </w:r>
          </w:p>
        </w:tc>
        <w:tc>
          <w:tcPr>
            <w:tcW w:w="577"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64,4</w:t>
            </w:r>
          </w:p>
        </w:tc>
        <w:tc>
          <w:tcPr>
            <w:tcW w:w="381" w:type="pct"/>
            <w:tcBorders>
              <w:top w:val="nil"/>
              <w:left w:val="nil"/>
              <w:bottom w:val="single" w:sz="4" w:space="0" w:color="auto"/>
              <w:right w:val="single" w:sz="4" w:space="0" w:color="auto"/>
            </w:tcBorders>
            <w:shd w:val="clear" w:color="auto" w:fill="auto"/>
            <w:noWrap/>
            <w:vAlign w:val="center"/>
            <w:hideMark/>
          </w:tcPr>
          <w:p w:rsidR="009B1EA0" w:rsidRPr="00EE03E7"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EE03E7">
              <w:rPr>
                <w:rFonts w:ascii="Times New Roman" w:eastAsia="Times New Roman" w:hAnsi="Times New Roman" w:cs="Times New Roman"/>
                <w:color w:val="000000"/>
                <w:sz w:val="20"/>
                <w:szCs w:val="20"/>
                <w:lang w:eastAsia="cs-CZ"/>
              </w:rPr>
              <w:t>21,0</w:t>
            </w:r>
          </w:p>
        </w:tc>
      </w:tr>
    </w:tbl>
    <w:p w:rsidR="009B1EA0" w:rsidRPr="009201EF" w:rsidRDefault="009B1EA0" w:rsidP="009B1EA0">
      <w:pPr>
        <w:spacing w:after="0" w:line="240" w:lineRule="auto"/>
        <w:rPr>
          <w:rFonts w:ascii="Times New Roman" w:hAnsi="Times New Roman" w:cs="Times New Roman"/>
          <w:sz w:val="18"/>
        </w:rPr>
      </w:pPr>
    </w:p>
    <w:p w:rsidR="009B1EA0" w:rsidRPr="009201EF" w:rsidRDefault="009B1EA0" w:rsidP="009B1EA0">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droj: ČSÚ, vlastní zpracování</w:t>
      </w:r>
    </w:p>
    <w:p w:rsidR="009B1EA0" w:rsidRDefault="009B1EA0" w:rsidP="009B1EA0">
      <w:pPr>
        <w:spacing w:after="0" w:line="240" w:lineRule="auto"/>
        <w:jc w:val="both"/>
        <w:rPr>
          <w:rFonts w:ascii="Times New Roman" w:hAnsi="Times New Roman" w:cs="Times New Roman"/>
        </w:rPr>
      </w:pPr>
    </w:p>
    <w:p w:rsidR="009B1EA0" w:rsidRDefault="009B1EA0" w:rsidP="009B1EA0">
      <w:pPr>
        <w:spacing w:after="0"/>
        <w:jc w:val="both"/>
        <w:rPr>
          <w:rFonts w:ascii="Times New Roman" w:hAnsi="Times New Roman" w:cs="Times New Roman"/>
        </w:rPr>
      </w:pPr>
      <w:r w:rsidRPr="009201EF">
        <w:rPr>
          <w:rFonts w:ascii="Times New Roman" w:hAnsi="Times New Roman" w:cs="Times New Roman"/>
        </w:rPr>
        <w:t>Ze srovnání</w:t>
      </w:r>
      <w:r>
        <w:rPr>
          <w:rFonts w:ascii="Times New Roman" w:hAnsi="Times New Roman" w:cs="Times New Roman"/>
        </w:rPr>
        <w:t xml:space="preserve"> území</w:t>
      </w:r>
      <w:r w:rsidRPr="009201EF">
        <w:rPr>
          <w:rFonts w:ascii="Times New Roman" w:hAnsi="Times New Roman" w:cs="Times New Roman"/>
        </w:rPr>
        <w:t xml:space="preserve"> je patrné, že </w:t>
      </w:r>
      <w:r>
        <w:rPr>
          <w:rFonts w:ascii="Times New Roman" w:hAnsi="Times New Roman" w:cs="Times New Roman"/>
        </w:rPr>
        <w:t>obec vykazuje srovnatelný vývoj ve věkovém složení obyvatel s územím SO ORP Tanvald. Vývoj předproduktivní složky (0-14) v absolutním vyjádření klesl z hodnot roku 2001 – 96 dětí na 64 dětí v roce 2017 (pokles o 33%). Pokles skupiny do 14 let doprovází nárůst poproduktivního obyvatelstva tj. nad 65 let, který zaznamenal oproti roku 2001 nárůst ze 70 obyvatel na 101 (nárůst o 44%). Vývoj počtu produktivního obyvatelstva reprezentuje klesající trend, který je ovlivňován přechodem silných poválečných ročníků do skupiny nad 65 let - změna mezi roky 2001 a 2017 dosahuje poklesu o 8%.</w:t>
      </w:r>
    </w:p>
    <w:p w:rsidR="009B1EA0" w:rsidRDefault="009B1EA0" w:rsidP="009B1EA0">
      <w:pPr>
        <w:spacing w:after="0"/>
        <w:jc w:val="both"/>
        <w:rPr>
          <w:rFonts w:ascii="Times New Roman" w:hAnsi="Times New Roman" w:cs="Times New Roman"/>
        </w:rPr>
      </w:pPr>
    </w:p>
    <w:p w:rsidR="009B1EA0" w:rsidRPr="00F71502" w:rsidRDefault="009B1EA0" w:rsidP="009B1EA0">
      <w:pPr>
        <w:spacing w:after="0"/>
        <w:jc w:val="both"/>
        <w:rPr>
          <w:rFonts w:ascii="Times New Roman" w:hAnsi="Times New Roman" w:cs="Times New Roman"/>
        </w:rPr>
      </w:pPr>
      <w:r>
        <w:rPr>
          <w:rFonts w:ascii="Times New Roman" w:hAnsi="Times New Roman" w:cs="Times New Roman"/>
        </w:rPr>
        <w:t xml:space="preserve">Vývoj poměrové složení obyvatelstva v ekonomických věkových skupinách zobrazuje následující graf, ze kterého lze vyčíst přesuny obyvatel mezi skupinami, a to primárně ve prospěch postproduktivního obyvatelstva.   </w:t>
      </w:r>
    </w:p>
    <w:p w:rsidR="009B1EA0" w:rsidRDefault="009B1EA0" w:rsidP="009B1EA0">
      <w:pPr>
        <w:spacing w:after="0" w:line="240" w:lineRule="auto"/>
        <w:rPr>
          <w:rFonts w:ascii="Times New Roman" w:hAnsi="Times New Roman" w:cs="Times New Roman"/>
          <w:sz w:val="18"/>
        </w:rPr>
      </w:pPr>
    </w:p>
    <w:p w:rsidR="009B1EA0" w:rsidRDefault="009B1EA0" w:rsidP="009B1EA0">
      <w:pPr>
        <w:spacing w:after="0" w:line="240" w:lineRule="auto"/>
        <w:rPr>
          <w:rFonts w:ascii="Times New Roman" w:hAnsi="Times New Roman" w:cs="Times New Roman"/>
          <w:sz w:val="18"/>
        </w:rPr>
      </w:pPr>
    </w:p>
    <w:p w:rsidR="009B1EA0" w:rsidRPr="009201EF" w:rsidRDefault="009B1EA0" w:rsidP="009B1EA0">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zá</w:t>
      </w:r>
      <w:r>
        <w:rPr>
          <w:rFonts w:ascii="Times New Roman" w:hAnsi="Times New Roman" w:cs="Times New Roman"/>
          <w:sz w:val="18"/>
        </w:rPr>
        <w:t>kladních věkových skupin</w:t>
      </w:r>
      <w:r w:rsidRPr="009201EF">
        <w:rPr>
          <w:rFonts w:ascii="Times New Roman" w:hAnsi="Times New Roman" w:cs="Times New Roman"/>
          <w:sz w:val="18"/>
        </w:rPr>
        <w:t xml:space="preserve"> v letech 2001</w:t>
      </w:r>
      <w:r>
        <w:rPr>
          <w:rFonts w:ascii="Times New Roman" w:hAnsi="Times New Roman" w:cs="Times New Roman"/>
          <w:sz w:val="18"/>
        </w:rPr>
        <w:t>, 2011, 2017</w:t>
      </w:r>
      <w:r w:rsidRPr="009201EF">
        <w:rPr>
          <w:rFonts w:ascii="Times New Roman" w:hAnsi="Times New Roman" w:cs="Times New Roman"/>
          <w:sz w:val="18"/>
        </w:rPr>
        <w:t xml:space="preserve"> </w:t>
      </w:r>
    </w:p>
    <w:p w:rsidR="009B1EA0" w:rsidRPr="009201EF" w:rsidRDefault="009B1EA0" w:rsidP="009B1EA0">
      <w:pPr>
        <w:spacing w:after="0" w:line="240" w:lineRule="auto"/>
        <w:rPr>
          <w:rFonts w:ascii="Times New Roman" w:hAnsi="Times New Roman" w:cs="Times New Roman"/>
        </w:rPr>
      </w:pPr>
      <w:r>
        <w:rPr>
          <w:noProof/>
          <w:lang w:eastAsia="cs-CZ"/>
        </w:rPr>
        <w:drawing>
          <wp:inline distT="0" distB="0" distL="0" distR="0" wp14:anchorId="48ABA7AD" wp14:editId="7C4C6E9C">
            <wp:extent cx="5762625" cy="2371725"/>
            <wp:effectExtent l="76200" t="57150" r="66675" b="857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1EA0" w:rsidRPr="00277491" w:rsidRDefault="009B1EA0" w:rsidP="009B1EA0">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9B1EA0" w:rsidRDefault="009B1EA0" w:rsidP="009B1EA0">
      <w:pPr>
        <w:jc w:val="both"/>
        <w:rPr>
          <w:rFonts w:ascii="Times New Roman" w:hAnsi="Times New Roman" w:cs="Times New Roman"/>
        </w:rPr>
      </w:pPr>
    </w:p>
    <w:p w:rsidR="009B1EA0" w:rsidRDefault="009B1EA0" w:rsidP="009B1EA0">
      <w:pPr>
        <w:jc w:val="both"/>
        <w:rPr>
          <w:rFonts w:ascii="Times New Roman" w:hAnsi="Times New Roman" w:cs="Times New Roman"/>
        </w:rPr>
      </w:pPr>
      <w:r w:rsidRPr="009201EF">
        <w:rPr>
          <w:rFonts w:ascii="Times New Roman" w:hAnsi="Times New Roman" w:cs="Times New Roman"/>
        </w:rPr>
        <w:lastRenderedPageBreak/>
        <w:t>P</w:t>
      </w:r>
      <w:r>
        <w:rPr>
          <w:rFonts w:ascii="Times New Roman" w:hAnsi="Times New Roman" w:cs="Times New Roman"/>
        </w:rPr>
        <w:t>ro rozvojové účely</w:t>
      </w:r>
      <w:r w:rsidRPr="009201EF">
        <w:rPr>
          <w:rFonts w:ascii="Times New Roman" w:hAnsi="Times New Roman" w:cs="Times New Roman"/>
        </w:rPr>
        <w:t xml:space="preserve"> je nezbytné analyzovat detailněji věkové skupiny, a to vzhledem k možnosti předvídat potřeby obyvatelstva. </w:t>
      </w:r>
    </w:p>
    <w:p w:rsidR="009B1EA0" w:rsidRDefault="009B1EA0" w:rsidP="009B1EA0">
      <w:pPr>
        <w:spacing w:after="0" w:line="240" w:lineRule="auto"/>
        <w:rPr>
          <w:rFonts w:ascii="Times New Roman" w:hAnsi="Times New Roman" w:cs="Times New Roman"/>
          <w:sz w:val="18"/>
        </w:rPr>
      </w:pPr>
    </w:p>
    <w:p w:rsidR="009B1EA0" w:rsidRPr="009201EF" w:rsidRDefault="009B1EA0" w:rsidP="009B1EA0">
      <w:pPr>
        <w:spacing w:after="0" w:line="240" w:lineRule="auto"/>
        <w:rPr>
          <w:rFonts w:ascii="Times New Roman" w:hAnsi="Times New Roman" w:cs="Times New Roman"/>
          <w:sz w:val="18"/>
        </w:rPr>
      </w:pPr>
      <w:r>
        <w:rPr>
          <w:rFonts w:ascii="Times New Roman" w:hAnsi="Times New Roman" w:cs="Times New Roman"/>
          <w:sz w:val="18"/>
        </w:rPr>
        <w:t>Graf: Obyvatelé v pětiletých věkových skupinách celkem a dle pohlaví k 31. 12. 2017</w:t>
      </w:r>
    </w:p>
    <w:p w:rsidR="009B1EA0" w:rsidRPr="009201EF" w:rsidRDefault="009B1EA0" w:rsidP="009B1EA0">
      <w:pPr>
        <w:spacing w:after="0" w:line="240" w:lineRule="auto"/>
        <w:rPr>
          <w:rFonts w:ascii="Times New Roman" w:hAnsi="Times New Roman" w:cs="Times New Roman"/>
        </w:rPr>
      </w:pPr>
      <w:r>
        <w:rPr>
          <w:noProof/>
          <w:lang w:eastAsia="cs-CZ"/>
        </w:rPr>
        <w:drawing>
          <wp:inline distT="0" distB="0" distL="0" distR="0" wp14:anchorId="1B3C63EA" wp14:editId="76D1CA9E">
            <wp:extent cx="5762625" cy="4200525"/>
            <wp:effectExtent l="76200" t="57150" r="66675" b="857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1EA0" w:rsidRPr="009201EF" w:rsidRDefault="009B1EA0" w:rsidP="009B1EA0">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9B1EA0" w:rsidRDefault="009B1EA0" w:rsidP="009B1EA0">
      <w:pPr>
        <w:jc w:val="both"/>
        <w:rPr>
          <w:rFonts w:ascii="Times New Roman" w:hAnsi="Times New Roman" w:cs="Times New Roman"/>
        </w:rPr>
      </w:pPr>
    </w:p>
    <w:p w:rsidR="009B1EA0" w:rsidRDefault="009B1EA0" w:rsidP="009B1EA0">
      <w:pPr>
        <w:jc w:val="both"/>
        <w:rPr>
          <w:rFonts w:ascii="Times New Roman" w:hAnsi="Times New Roman" w:cs="Times New Roman"/>
        </w:rPr>
      </w:pPr>
      <w:r>
        <w:rPr>
          <w:rFonts w:ascii="Times New Roman" w:hAnsi="Times New Roman" w:cs="Times New Roman"/>
        </w:rPr>
        <w:t xml:space="preserve">Rozložení obyvatelstva v jednotlivých věkových skupinách je relativně rovnoměrné bez zásadních výkyvů. Z rozložení počtu obyvatel lze konstatovat, že věkové skupiny do 14 let věku úhrnem jsou pod hranicí předcházející generace. Vzhledem k demografickým trendům populace ČR obecně lze očekávat ustálení či mírný pokles počtu nejmladších věkových skupin na současných hodnotách (uvažováno bez migrační vlny). Věkové skupiny obyvatel nad 65 let věku jsou nyní silně obsazeny a lze očekávat jejich stabilizaci na současných hodnotách. V budoucím vývoji pak bude zaznamenán přechod do věkových skupin nad 75 let věku, který může pro obec znamenat zajištění potřeb obyvatel v oblasti sociálních služeb, zdravotnictví, bydlení apod. Věkové skupiny obyvatel v produktivním věku jsou obsazeny rovnoměrně (pozitivní výkyv ve skupině 30 – 34 let), přičemž v budoucím vývoji lze očekávat postupný pokles na cca 4/5 současného stavu. </w:t>
      </w:r>
    </w:p>
    <w:p w:rsidR="009B1EA0" w:rsidRDefault="009B1EA0" w:rsidP="009B1EA0">
      <w:pPr>
        <w:jc w:val="both"/>
        <w:rPr>
          <w:rFonts w:ascii="Times New Roman" w:hAnsi="Times New Roman" w:cs="Times New Roman"/>
        </w:rPr>
      </w:pPr>
    </w:p>
    <w:p w:rsidR="009B1EA0" w:rsidRDefault="009B1EA0" w:rsidP="009B1EA0">
      <w:pPr>
        <w:jc w:val="both"/>
        <w:rPr>
          <w:rFonts w:ascii="Times New Roman" w:hAnsi="Times New Roman" w:cs="Times New Roman"/>
        </w:rPr>
      </w:pPr>
    </w:p>
    <w:p w:rsidR="009B1EA0" w:rsidRDefault="009B1EA0" w:rsidP="009B1EA0">
      <w:pPr>
        <w:jc w:val="both"/>
        <w:rPr>
          <w:rFonts w:ascii="Times New Roman" w:hAnsi="Times New Roman" w:cs="Times New Roman"/>
        </w:rPr>
      </w:pPr>
    </w:p>
    <w:p w:rsidR="009B1EA0" w:rsidRDefault="009B1EA0" w:rsidP="009B1EA0">
      <w:pPr>
        <w:jc w:val="both"/>
        <w:rPr>
          <w:rFonts w:ascii="Times New Roman" w:hAnsi="Times New Roman" w:cs="Times New Roman"/>
        </w:rPr>
      </w:pPr>
    </w:p>
    <w:p w:rsidR="009B1EA0" w:rsidRPr="009201EF" w:rsidRDefault="009B1EA0" w:rsidP="009B1EA0">
      <w:pPr>
        <w:jc w:val="both"/>
        <w:rPr>
          <w:rFonts w:ascii="Times New Roman" w:hAnsi="Times New Roman" w:cs="Times New Roman"/>
        </w:rPr>
      </w:pPr>
    </w:p>
    <w:p w:rsidR="009B1EA0" w:rsidRPr="00E60A4D" w:rsidRDefault="009B1EA0" w:rsidP="009B1EA0">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t>Vzdělanostní struktura</w:t>
      </w:r>
    </w:p>
    <w:p w:rsidR="009B1EA0" w:rsidRPr="00DE3CDC" w:rsidRDefault="009B1EA0" w:rsidP="009B1EA0">
      <w:pPr>
        <w:jc w:val="both"/>
        <w:rPr>
          <w:rFonts w:ascii="Times New Roman" w:hAnsi="Times New Roman" w:cs="Times New Roman"/>
        </w:rPr>
      </w:pPr>
      <w:r>
        <w:rPr>
          <w:rFonts w:ascii="Times New Roman" w:hAnsi="Times New Roman" w:cs="Times New Roman"/>
        </w:rPr>
        <w:t>Do vzdělanostní struktury obyvatelstva jsou započítáni obyvatelé starší 15 let.</w:t>
      </w:r>
    </w:p>
    <w:p w:rsidR="009B1EA0" w:rsidRDefault="009B1EA0" w:rsidP="009B1EA0">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Struktura obyvatel podle nejvyššího dokončeného </w:t>
      </w:r>
      <w:r>
        <w:rPr>
          <w:rFonts w:ascii="Times New Roman" w:hAnsi="Times New Roman" w:cs="Times New Roman"/>
          <w:sz w:val="18"/>
        </w:rPr>
        <w:t>stupně vzdělání v % v roce 2011</w:t>
      </w:r>
    </w:p>
    <w:tbl>
      <w:tblPr>
        <w:tblW w:w="5000" w:type="pct"/>
        <w:tblCellMar>
          <w:left w:w="70" w:type="dxa"/>
          <w:right w:w="70" w:type="dxa"/>
        </w:tblCellMar>
        <w:tblLook w:val="04A0" w:firstRow="1" w:lastRow="0" w:firstColumn="1" w:lastColumn="0" w:noHBand="0" w:noVBand="1"/>
      </w:tblPr>
      <w:tblGrid>
        <w:gridCol w:w="1897"/>
        <w:gridCol w:w="1687"/>
        <w:gridCol w:w="1267"/>
        <w:gridCol w:w="1345"/>
        <w:gridCol w:w="1673"/>
        <w:gridCol w:w="1193"/>
      </w:tblGrid>
      <w:tr w:rsidR="009B1EA0" w:rsidRPr="003665F6" w:rsidTr="00FC2E01">
        <w:trPr>
          <w:trHeight w:val="465"/>
        </w:trPr>
        <w:tc>
          <w:tcPr>
            <w:tcW w:w="1046"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území</w:t>
            </w:r>
          </w:p>
        </w:tc>
        <w:tc>
          <w:tcPr>
            <w:tcW w:w="931"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základní vč. neukončeného</w:t>
            </w:r>
          </w:p>
        </w:tc>
        <w:tc>
          <w:tcPr>
            <w:tcW w:w="699"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střední vč. vyučení (bez maturity)</w:t>
            </w:r>
          </w:p>
        </w:tc>
        <w:tc>
          <w:tcPr>
            <w:tcW w:w="742"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úplné střední (s maturitou) a vyšší odborné</w:t>
            </w:r>
          </w:p>
        </w:tc>
        <w:tc>
          <w:tcPr>
            <w:tcW w:w="923"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vysokoškolské</w:t>
            </w:r>
          </w:p>
        </w:tc>
        <w:tc>
          <w:tcPr>
            <w:tcW w:w="658"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bez vzdělání</w:t>
            </w:r>
          </w:p>
        </w:tc>
      </w:tr>
      <w:tr w:rsidR="009B1EA0" w:rsidRPr="003665F6" w:rsidTr="00FC2E01">
        <w:trPr>
          <w:trHeight w:val="227"/>
        </w:trPr>
        <w:tc>
          <w:tcPr>
            <w:tcW w:w="1046" w:type="pct"/>
            <w:tcBorders>
              <w:top w:val="nil"/>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rPr>
                <w:rFonts w:ascii="Times New Roman" w:eastAsia="Times New Roman" w:hAnsi="Times New Roman" w:cs="Times New Roman"/>
                <w:b/>
                <w:bCs/>
                <w:color w:val="000000"/>
                <w:sz w:val="20"/>
                <w:szCs w:val="20"/>
                <w:lang w:eastAsia="cs-CZ"/>
              </w:rPr>
            </w:pPr>
            <w:r w:rsidRPr="003665F6">
              <w:rPr>
                <w:rFonts w:ascii="Times New Roman" w:eastAsia="Times New Roman" w:hAnsi="Times New Roman" w:cs="Times New Roman"/>
                <w:b/>
                <w:bCs/>
                <w:color w:val="000000"/>
                <w:sz w:val="20"/>
                <w:szCs w:val="20"/>
                <w:lang w:eastAsia="cs-CZ"/>
              </w:rPr>
              <w:t>Zlatá Olešnice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20,8</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39,1</w:t>
            </w:r>
          </w:p>
        </w:tc>
        <w:tc>
          <w:tcPr>
            <w:tcW w:w="742" w:type="pct"/>
            <w:tcBorders>
              <w:top w:val="single" w:sz="4" w:space="0" w:color="auto"/>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30,9</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8,7</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0,5</w:t>
            </w:r>
          </w:p>
        </w:tc>
      </w:tr>
      <w:tr w:rsidR="009B1EA0" w:rsidRPr="003665F6" w:rsidTr="00FC2E01">
        <w:trPr>
          <w:trHeight w:val="227"/>
        </w:trPr>
        <w:tc>
          <w:tcPr>
            <w:tcW w:w="1046" w:type="pct"/>
            <w:tcBorders>
              <w:top w:val="nil"/>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rPr>
                <w:rFonts w:ascii="Times New Roman" w:eastAsia="Times New Roman" w:hAnsi="Times New Roman" w:cs="Times New Roman"/>
                <w:b/>
                <w:bCs/>
                <w:color w:val="000000"/>
                <w:sz w:val="20"/>
                <w:szCs w:val="20"/>
                <w:lang w:eastAsia="cs-CZ"/>
              </w:rPr>
            </w:pPr>
            <w:r w:rsidRPr="003665F6">
              <w:rPr>
                <w:rFonts w:ascii="Times New Roman" w:eastAsia="Times New Roman" w:hAnsi="Times New Roman" w:cs="Times New Roman"/>
                <w:b/>
                <w:bCs/>
                <w:color w:val="000000"/>
                <w:sz w:val="20"/>
                <w:szCs w:val="20"/>
                <w:lang w:eastAsia="cs-CZ"/>
              </w:rPr>
              <w:t>SO ORP Tanvald</w:t>
            </w:r>
          </w:p>
        </w:tc>
        <w:tc>
          <w:tcPr>
            <w:tcW w:w="931" w:type="pct"/>
            <w:tcBorders>
              <w:top w:val="nil"/>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23,9</w:t>
            </w:r>
          </w:p>
        </w:tc>
        <w:tc>
          <w:tcPr>
            <w:tcW w:w="699"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41,2</w:t>
            </w:r>
          </w:p>
        </w:tc>
        <w:tc>
          <w:tcPr>
            <w:tcW w:w="742"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27,6</w:t>
            </w:r>
          </w:p>
        </w:tc>
        <w:tc>
          <w:tcPr>
            <w:tcW w:w="923"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6,7</w:t>
            </w:r>
          </w:p>
        </w:tc>
        <w:tc>
          <w:tcPr>
            <w:tcW w:w="658"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0,6</w:t>
            </w:r>
          </w:p>
        </w:tc>
      </w:tr>
    </w:tbl>
    <w:p w:rsidR="009B1EA0" w:rsidRPr="009201EF" w:rsidRDefault="009B1EA0" w:rsidP="009B1EA0">
      <w:pPr>
        <w:spacing w:after="0" w:line="240" w:lineRule="auto"/>
        <w:rPr>
          <w:rFonts w:ascii="Times New Roman" w:hAnsi="Times New Roman" w:cs="Times New Roman"/>
          <w:sz w:val="18"/>
        </w:rPr>
      </w:pPr>
    </w:p>
    <w:p w:rsidR="009B1EA0" w:rsidRPr="00C92C1C" w:rsidRDefault="009B1EA0" w:rsidP="009B1EA0">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 xml:space="preserve">droj: ČSÚ </w:t>
      </w:r>
      <w:r>
        <w:rPr>
          <w:rFonts w:ascii="Times New Roman" w:hAnsi="Times New Roman" w:cs="Times New Roman"/>
          <w:sz w:val="18"/>
        </w:rPr>
        <w:t>– SLDB 2011, vlastní zpracování</w:t>
      </w:r>
    </w:p>
    <w:p w:rsidR="009B1EA0" w:rsidRDefault="009B1EA0" w:rsidP="009B1EA0">
      <w:pPr>
        <w:jc w:val="both"/>
        <w:rPr>
          <w:rFonts w:ascii="Times New Roman" w:hAnsi="Times New Roman" w:cs="Times New Roman"/>
        </w:rPr>
      </w:pPr>
      <w:r>
        <w:rPr>
          <w:rFonts w:ascii="Times New Roman" w:hAnsi="Times New Roman" w:cs="Times New Roman"/>
        </w:rPr>
        <w:t>Obec dosahuje</w:t>
      </w:r>
      <w:r w:rsidRPr="009201EF">
        <w:rPr>
          <w:rFonts w:ascii="Times New Roman" w:hAnsi="Times New Roman" w:cs="Times New Roman"/>
        </w:rPr>
        <w:t xml:space="preserve"> ve srovnání s širším územím ve vzdělanostní stru</w:t>
      </w:r>
      <w:r>
        <w:rPr>
          <w:rFonts w:ascii="Times New Roman" w:hAnsi="Times New Roman" w:cs="Times New Roman"/>
        </w:rPr>
        <w:t>ktuře obyvatelstva lepších</w:t>
      </w:r>
      <w:r w:rsidRPr="009201EF">
        <w:rPr>
          <w:rFonts w:ascii="Times New Roman" w:hAnsi="Times New Roman" w:cs="Times New Roman"/>
        </w:rPr>
        <w:t xml:space="preserve"> hodnot. </w:t>
      </w:r>
    </w:p>
    <w:p w:rsidR="009B1EA0" w:rsidRDefault="009B1EA0" w:rsidP="009B1EA0">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 xml:space="preserve">Struktura obyvatel podle nejvyššího dokončeného stupně </w:t>
      </w:r>
      <w:r>
        <w:rPr>
          <w:rFonts w:ascii="Times New Roman" w:hAnsi="Times New Roman" w:cs="Times New Roman"/>
          <w:sz w:val="18"/>
        </w:rPr>
        <w:t>vzdělání a pohlaví absolutně v roce 2011</w:t>
      </w:r>
    </w:p>
    <w:tbl>
      <w:tblPr>
        <w:tblW w:w="5000" w:type="pct"/>
        <w:tblCellMar>
          <w:left w:w="70" w:type="dxa"/>
          <w:right w:w="70" w:type="dxa"/>
        </w:tblCellMar>
        <w:tblLook w:val="04A0" w:firstRow="1" w:lastRow="0" w:firstColumn="1" w:lastColumn="0" w:noHBand="0" w:noVBand="1"/>
      </w:tblPr>
      <w:tblGrid>
        <w:gridCol w:w="1368"/>
        <w:gridCol w:w="1436"/>
        <w:gridCol w:w="1219"/>
        <w:gridCol w:w="1245"/>
        <w:gridCol w:w="1426"/>
        <w:gridCol w:w="1196"/>
        <w:gridCol w:w="1172"/>
      </w:tblGrid>
      <w:tr w:rsidR="009B1EA0" w:rsidRPr="003665F6" w:rsidTr="00FC2E01">
        <w:trPr>
          <w:trHeight w:val="1020"/>
        </w:trPr>
        <w:tc>
          <w:tcPr>
            <w:tcW w:w="735"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území</w:t>
            </w:r>
          </w:p>
        </w:tc>
        <w:tc>
          <w:tcPr>
            <w:tcW w:w="796"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základní vč. neukončeného</w:t>
            </w:r>
          </w:p>
        </w:tc>
        <w:tc>
          <w:tcPr>
            <w:tcW w:w="676"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střední vč. vyučení (bez maturity)</w:t>
            </w:r>
          </w:p>
        </w:tc>
        <w:tc>
          <w:tcPr>
            <w:tcW w:w="690"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úplné střední (s maturitou) a vyšší odborné</w:t>
            </w:r>
          </w:p>
        </w:tc>
        <w:tc>
          <w:tcPr>
            <w:tcW w:w="790" w:type="pct"/>
            <w:tcBorders>
              <w:top w:val="single" w:sz="4" w:space="0" w:color="auto"/>
              <w:left w:val="nil"/>
              <w:bottom w:val="single" w:sz="4" w:space="0" w:color="auto"/>
              <w:right w:val="single" w:sz="4" w:space="0" w:color="auto"/>
            </w:tcBorders>
            <w:shd w:val="clear" w:color="000000" w:fill="1F497D"/>
            <w:noWrap/>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vysokoškolské</w:t>
            </w:r>
          </w:p>
        </w:tc>
        <w:tc>
          <w:tcPr>
            <w:tcW w:w="663"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bez vzdělání</w:t>
            </w:r>
          </w:p>
        </w:tc>
        <w:tc>
          <w:tcPr>
            <w:tcW w:w="650" w:type="pct"/>
            <w:tcBorders>
              <w:top w:val="single" w:sz="4" w:space="0" w:color="auto"/>
              <w:left w:val="nil"/>
              <w:bottom w:val="single" w:sz="4" w:space="0" w:color="auto"/>
              <w:right w:val="single" w:sz="4" w:space="0" w:color="auto"/>
            </w:tcBorders>
            <w:shd w:val="clear" w:color="000000" w:fill="1F497D"/>
            <w:vAlign w:val="center"/>
            <w:hideMark/>
          </w:tcPr>
          <w:p w:rsidR="009B1EA0" w:rsidRPr="003665F6" w:rsidRDefault="009B1EA0" w:rsidP="00FC2E01">
            <w:pPr>
              <w:spacing w:after="0" w:line="240" w:lineRule="auto"/>
              <w:jc w:val="center"/>
              <w:rPr>
                <w:rFonts w:ascii="Times New Roman" w:eastAsia="Times New Roman" w:hAnsi="Times New Roman" w:cs="Times New Roman"/>
                <w:b/>
                <w:bCs/>
                <w:color w:val="FFFFFF"/>
                <w:sz w:val="20"/>
                <w:szCs w:val="20"/>
                <w:lang w:eastAsia="cs-CZ"/>
              </w:rPr>
            </w:pPr>
            <w:r w:rsidRPr="003665F6">
              <w:rPr>
                <w:rFonts w:ascii="Times New Roman" w:eastAsia="Times New Roman" w:hAnsi="Times New Roman" w:cs="Times New Roman"/>
                <w:b/>
                <w:bCs/>
                <w:color w:val="FFFFFF"/>
                <w:sz w:val="20"/>
                <w:szCs w:val="20"/>
                <w:lang w:eastAsia="cs-CZ"/>
              </w:rPr>
              <w:t>celkem</w:t>
            </w:r>
          </w:p>
        </w:tc>
      </w:tr>
      <w:tr w:rsidR="009B1EA0" w:rsidRPr="003665F6" w:rsidTr="00FC2E01">
        <w:trPr>
          <w:trHeight w:val="227"/>
        </w:trPr>
        <w:tc>
          <w:tcPr>
            <w:tcW w:w="735" w:type="pct"/>
            <w:tcBorders>
              <w:top w:val="nil"/>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rPr>
                <w:rFonts w:ascii="Times New Roman" w:eastAsia="Times New Roman" w:hAnsi="Times New Roman" w:cs="Times New Roman"/>
                <w:b/>
                <w:bCs/>
                <w:color w:val="000000"/>
                <w:sz w:val="20"/>
                <w:szCs w:val="20"/>
                <w:lang w:eastAsia="cs-CZ"/>
              </w:rPr>
            </w:pPr>
            <w:r w:rsidRPr="003665F6">
              <w:rPr>
                <w:rFonts w:ascii="Times New Roman" w:eastAsia="Times New Roman" w:hAnsi="Times New Roman" w:cs="Times New Roman"/>
                <w:b/>
                <w:bCs/>
                <w:color w:val="000000"/>
                <w:sz w:val="20"/>
                <w:szCs w:val="20"/>
                <w:lang w:eastAsia="cs-CZ"/>
              </w:rPr>
              <w:t>Zlatá Olešnice</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84</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158</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125</w:t>
            </w:r>
          </w:p>
        </w:tc>
        <w:tc>
          <w:tcPr>
            <w:tcW w:w="790" w:type="pct"/>
            <w:tcBorders>
              <w:top w:val="single" w:sz="4" w:space="0" w:color="auto"/>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35</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9B1EA0" w:rsidRPr="003665F6" w:rsidRDefault="009B1EA0" w:rsidP="00FC2E01">
            <w:pPr>
              <w:spacing w:after="0" w:line="240" w:lineRule="auto"/>
              <w:jc w:val="center"/>
              <w:rPr>
                <w:rFonts w:ascii="Arial" w:eastAsia="Times New Roman" w:hAnsi="Arial" w:cs="Arial"/>
                <w:sz w:val="20"/>
                <w:szCs w:val="20"/>
                <w:lang w:eastAsia="cs-CZ"/>
              </w:rPr>
            </w:pPr>
            <w:r w:rsidRPr="003665F6">
              <w:rPr>
                <w:rFonts w:ascii="Arial" w:eastAsia="Times New Roman" w:hAnsi="Arial" w:cs="Arial"/>
                <w:sz w:val="20"/>
                <w:szCs w:val="20"/>
                <w:lang w:eastAsia="cs-CZ"/>
              </w:rPr>
              <w:t>2</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404</w:t>
            </w:r>
          </w:p>
        </w:tc>
      </w:tr>
      <w:tr w:rsidR="009B1EA0" w:rsidRPr="003665F6" w:rsidTr="00FC2E01">
        <w:trPr>
          <w:trHeight w:val="227"/>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9B1EA0" w:rsidRPr="003665F6" w:rsidRDefault="009B1EA0" w:rsidP="00FC2E01">
            <w:pPr>
              <w:spacing w:after="0" w:line="240" w:lineRule="auto"/>
              <w:rPr>
                <w:rFonts w:ascii="Times New Roman" w:eastAsia="Times New Roman" w:hAnsi="Times New Roman" w:cs="Times New Roman"/>
                <w:b/>
                <w:bCs/>
                <w:color w:val="000000"/>
                <w:sz w:val="20"/>
                <w:szCs w:val="20"/>
                <w:lang w:eastAsia="cs-CZ"/>
              </w:rPr>
            </w:pPr>
            <w:r w:rsidRPr="003665F6">
              <w:rPr>
                <w:rFonts w:ascii="Times New Roman" w:eastAsia="Times New Roman" w:hAnsi="Times New Roman" w:cs="Times New Roman"/>
                <w:b/>
                <w:bCs/>
                <w:color w:val="000000"/>
                <w:sz w:val="20"/>
                <w:szCs w:val="20"/>
                <w:lang w:eastAsia="cs-CZ"/>
              </w:rPr>
              <w:t>Muži</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25</w:t>
            </w:r>
          </w:p>
        </w:tc>
        <w:tc>
          <w:tcPr>
            <w:tcW w:w="676"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98</w:t>
            </w:r>
          </w:p>
        </w:tc>
        <w:tc>
          <w:tcPr>
            <w:tcW w:w="69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55</w:t>
            </w:r>
          </w:p>
        </w:tc>
        <w:tc>
          <w:tcPr>
            <w:tcW w:w="79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13</w:t>
            </w:r>
          </w:p>
        </w:tc>
        <w:tc>
          <w:tcPr>
            <w:tcW w:w="663"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1</w:t>
            </w:r>
          </w:p>
        </w:tc>
        <w:tc>
          <w:tcPr>
            <w:tcW w:w="65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192</w:t>
            </w:r>
          </w:p>
        </w:tc>
      </w:tr>
      <w:tr w:rsidR="009B1EA0" w:rsidRPr="003665F6" w:rsidTr="00FC2E01">
        <w:trPr>
          <w:trHeight w:val="227"/>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9B1EA0" w:rsidRPr="003665F6" w:rsidRDefault="009B1EA0" w:rsidP="00FC2E01">
            <w:pPr>
              <w:spacing w:after="0" w:line="240" w:lineRule="auto"/>
              <w:rPr>
                <w:rFonts w:ascii="Times New Roman" w:eastAsia="Times New Roman" w:hAnsi="Times New Roman" w:cs="Times New Roman"/>
                <w:b/>
                <w:bCs/>
                <w:color w:val="000000"/>
                <w:sz w:val="20"/>
                <w:szCs w:val="20"/>
                <w:lang w:eastAsia="cs-CZ"/>
              </w:rPr>
            </w:pPr>
            <w:r w:rsidRPr="003665F6">
              <w:rPr>
                <w:rFonts w:ascii="Times New Roman" w:eastAsia="Times New Roman" w:hAnsi="Times New Roman" w:cs="Times New Roman"/>
                <w:b/>
                <w:bCs/>
                <w:color w:val="000000"/>
                <w:sz w:val="20"/>
                <w:szCs w:val="20"/>
                <w:lang w:eastAsia="cs-CZ"/>
              </w:rPr>
              <w:t>Ženy</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59</w:t>
            </w:r>
          </w:p>
        </w:tc>
        <w:tc>
          <w:tcPr>
            <w:tcW w:w="676"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60</w:t>
            </w:r>
          </w:p>
        </w:tc>
        <w:tc>
          <w:tcPr>
            <w:tcW w:w="69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70</w:t>
            </w:r>
          </w:p>
        </w:tc>
        <w:tc>
          <w:tcPr>
            <w:tcW w:w="79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22</w:t>
            </w:r>
          </w:p>
        </w:tc>
        <w:tc>
          <w:tcPr>
            <w:tcW w:w="663"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1</w:t>
            </w:r>
          </w:p>
        </w:tc>
        <w:tc>
          <w:tcPr>
            <w:tcW w:w="65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212</w:t>
            </w:r>
          </w:p>
        </w:tc>
      </w:tr>
      <w:tr w:rsidR="009B1EA0" w:rsidRPr="003665F6" w:rsidTr="00FC2E01">
        <w:trPr>
          <w:trHeight w:val="227"/>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9B1EA0" w:rsidRPr="003665F6" w:rsidRDefault="009B1EA0" w:rsidP="00FC2E01">
            <w:pPr>
              <w:spacing w:after="0" w:line="240" w:lineRule="auto"/>
              <w:rPr>
                <w:rFonts w:ascii="Times New Roman" w:eastAsia="Times New Roman" w:hAnsi="Times New Roman" w:cs="Times New Roman"/>
                <w:b/>
                <w:bCs/>
                <w:color w:val="000000"/>
                <w:sz w:val="20"/>
                <w:szCs w:val="20"/>
                <w:lang w:eastAsia="cs-CZ"/>
              </w:rPr>
            </w:pPr>
            <w:r w:rsidRPr="003665F6">
              <w:rPr>
                <w:rFonts w:ascii="Times New Roman" w:eastAsia="Times New Roman" w:hAnsi="Times New Roman" w:cs="Times New Roman"/>
                <w:b/>
                <w:bCs/>
                <w:color w:val="000000"/>
                <w:sz w:val="20"/>
                <w:szCs w:val="20"/>
                <w:lang w:eastAsia="cs-CZ"/>
              </w:rPr>
              <w:t>Muži v %</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13,0</w:t>
            </w:r>
          </w:p>
        </w:tc>
        <w:tc>
          <w:tcPr>
            <w:tcW w:w="676"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51,0</w:t>
            </w:r>
          </w:p>
        </w:tc>
        <w:tc>
          <w:tcPr>
            <w:tcW w:w="69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28,6</w:t>
            </w:r>
          </w:p>
        </w:tc>
        <w:tc>
          <w:tcPr>
            <w:tcW w:w="79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6,8</w:t>
            </w:r>
          </w:p>
        </w:tc>
        <w:tc>
          <w:tcPr>
            <w:tcW w:w="663"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0,5</w:t>
            </w:r>
          </w:p>
        </w:tc>
        <w:tc>
          <w:tcPr>
            <w:tcW w:w="65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r>
      <w:tr w:rsidR="009B1EA0" w:rsidRPr="003665F6" w:rsidTr="00FC2E01">
        <w:trPr>
          <w:trHeight w:val="227"/>
        </w:trPr>
        <w:tc>
          <w:tcPr>
            <w:tcW w:w="735" w:type="pct"/>
            <w:tcBorders>
              <w:top w:val="nil"/>
              <w:left w:val="single" w:sz="4" w:space="0" w:color="auto"/>
              <w:bottom w:val="single" w:sz="4" w:space="0" w:color="auto"/>
              <w:right w:val="single" w:sz="4" w:space="0" w:color="auto"/>
            </w:tcBorders>
            <w:shd w:val="clear" w:color="auto" w:fill="auto"/>
            <w:noWrap/>
            <w:vAlign w:val="bottom"/>
            <w:hideMark/>
          </w:tcPr>
          <w:p w:rsidR="009B1EA0" w:rsidRPr="003665F6" w:rsidRDefault="009B1EA0" w:rsidP="00FC2E01">
            <w:pPr>
              <w:spacing w:after="0" w:line="240" w:lineRule="auto"/>
              <w:rPr>
                <w:rFonts w:ascii="Times New Roman" w:eastAsia="Times New Roman" w:hAnsi="Times New Roman" w:cs="Times New Roman"/>
                <w:b/>
                <w:bCs/>
                <w:color w:val="000000"/>
                <w:sz w:val="20"/>
                <w:szCs w:val="20"/>
                <w:lang w:eastAsia="cs-CZ"/>
              </w:rPr>
            </w:pPr>
            <w:r w:rsidRPr="003665F6">
              <w:rPr>
                <w:rFonts w:ascii="Times New Roman" w:eastAsia="Times New Roman" w:hAnsi="Times New Roman" w:cs="Times New Roman"/>
                <w:b/>
                <w:bCs/>
                <w:color w:val="000000"/>
                <w:sz w:val="20"/>
                <w:szCs w:val="20"/>
                <w:lang w:eastAsia="cs-CZ"/>
              </w:rPr>
              <w:t>Ženy v %</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27,8</w:t>
            </w:r>
          </w:p>
        </w:tc>
        <w:tc>
          <w:tcPr>
            <w:tcW w:w="676"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28,3</w:t>
            </w:r>
          </w:p>
        </w:tc>
        <w:tc>
          <w:tcPr>
            <w:tcW w:w="69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33,0</w:t>
            </w:r>
          </w:p>
        </w:tc>
        <w:tc>
          <w:tcPr>
            <w:tcW w:w="79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10,4</w:t>
            </w:r>
          </w:p>
        </w:tc>
        <w:tc>
          <w:tcPr>
            <w:tcW w:w="663"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sidRPr="003665F6">
              <w:rPr>
                <w:rFonts w:ascii="Times New Roman" w:eastAsia="Times New Roman" w:hAnsi="Times New Roman" w:cs="Times New Roman"/>
                <w:color w:val="000000"/>
                <w:sz w:val="20"/>
                <w:szCs w:val="20"/>
                <w:lang w:eastAsia="cs-CZ"/>
              </w:rPr>
              <w:t>0,5</w:t>
            </w:r>
          </w:p>
        </w:tc>
        <w:tc>
          <w:tcPr>
            <w:tcW w:w="650" w:type="pct"/>
            <w:tcBorders>
              <w:top w:val="nil"/>
              <w:left w:val="nil"/>
              <w:bottom w:val="single" w:sz="4" w:space="0" w:color="auto"/>
              <w:right w:val="single" w:sz="4" w:space="0" w:color="auto"/>
            </w:tcBorders>
            <w:shd w:val="clear" w:color="auto" w:fill="auto"/>
            <w:noWrap/>
            <w:vAlign w:val="center"/>
            <w:hideMark/>
          </w:tcPr>
          <w:p w:rsidR="009B1EA0" w:rsidRPr="003665F6" w:rsidRDefault="009B1EA0" w:rsidP="00FC2E01">
            <w:pPr>
              <w:spacing w:after="0" w:line="240" w:lineRule="auto"/>
              <w:jc w:val="center"/>
              <w:rPr>
                <w:rFonts w:ascii="Times New Roman" w:eastAsia="Times New Roman" w:hAnsi="Times New Roman" w:cs="Times New Roman"/>
                <w:color w:val="000000"/>
                <w:sz w:val="20"/>
                <w:szCs w:val="20"/>
                <w:lang w:eastAsia="cs-CZ"/>
              </w:rPr>
            </w:pPr>
            <w:r>
              <w:rPr>
                <w:rFonts w:ascii="Times New Roman" w:eastAsia="Times New Roman" w:hAnsi="Times New Roman" w:cs="Times New Roman"/>
                <w:color w:val="000000"/>
                <w:sz w:val="20"/>
                <w:szCs w:val="20"/>
                <w:lang w:eastAsia="cs-CZ"/>
              </w:rPr>
              <w:t>--</w:t>
            </w:r>
          </w:p>
        </w:tc>
      </w:tr>
    </w:tbl>
    <w:p w:rsidR="009B1EA0" w:rsidRPr="00C92C1C" w:rsidRDefault="009B1EA0" w:rsidP="009B1EA0">
      <w:pPr>
        <w:spacing w:after="0"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9B1EA0" w:rsidRDefault="009B1EA0" w:rsidP="009B1EA0">
      <w:pPr>
        <w:jc w:val="both"/>
        <w:rPr>
          <w:rFonts w:ascii="Times New Roman" w:hAnsi="Times New Roman" w:cs="Times New Roman"/>
        </w:rPr>
      </w:pPr>
    </w:p>
    <w:p w:rsidR="009B1EA0" w:rsidRPr="009201EF" w:rsidRDefault="009B1EA0" w:rsidP="009B1EA0">
      <w:pPr>
        <w:jc w:val="both"/>
        <w:rPr>
          <w:rFonts w:ascii="Times New Roman" w:hAnsi="Times New Roman" w:cs="Times New Roman"/>
        </w:rPr>
      </w:pPr>
      <w:r>
        <w:rPr>
          <w:rFonts w:ascii="Times New Roman" w:hAnsi="Times New Roman" w:cs="Times New Roman"/>
        </w:rPr>
        <w:t>Z hlediska srovnání mužů a žen v dokončeném stupni vzdělání, dosahují ženy horších hodnot pouze ve stupni základního vzdělání.</w:t>
      </w:r>
    </w:p>
    <w:p w:rsidR="009B1EA0" w:rsidRPr="009201EF" w:rsidRDefault="009B1EA0" w:rsidP="009B1EA0">
      <w:pPr>
        <w:jc w:val="both"/>
        <w:rPr>
          <w:rFonts w:ascii="Times New Roman" w:hAnsi="Times New Roman" w:cs="Times New Roman"/>
        </w:rPr>
      </w:pPr>
      <w:r w:rsidRPr="009201EF">
        <w:rPr>
          <w:rFonts w:ascii="Times New Roman" w:hAnsi="Times New Roman" w:cs="Times New Roman"/>
        </w:rPr>
        <w:t>Vzdělano</w:t>
      </w:r>
      <w:r>
        <w:rPr>
          <w:rFonts w:ascii="Times New Roman" w:hAnsi="Times New Roman" w:cs="Times New Roman"/>
        </w:rPr>
        <w:t xml:space="preserve">stní struktura obce </w:t>
      </w:r>
      <w:r w:rsidRPr="009201EF">
        <w:rPr>
          <w:rFonts w:ascii="Times New Roman" w:hAnsi="Times New Roman" w:cs="Times New Roman"/>
        </w:rPr>
        <w:t xml:space="preserve">je zachycena v následujícím grafu, ze kterého lze vyčíst absolutní hodnoty reprezentující jednotlivé kategorie. </w:t>
      </w:r>
    </w:p>
    <w:p w:rsidR="009B1EA0" w:rsidRPr="009201EF" w:rsidRDefault="009B1EA0" w:rsidP="009B1EA0">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Vzdělano</w:t>
      </w:r>
      <w:r>
        <w:rPr>
          <w:rFonts w:ascii="Times New Roman" w:hAnsi="Times New Roman" w:cs="Times New Roman"/>
          <w:sz w:val="18"/>
        </w:rPr>
        <w:t xml:space="preserve">stní struktura obyvatel </w:t>
      </w:r>
      <w:r w:rsidRPr="009201EF">
        <w:rPr>
          <w:rFonts w:ascii="Times New Roman" w:hAnsi="Times New Roman" w:cs="Times New Roman"/>
          <w:sz w:val="18"/>
        </w:rPr>
        <w:t>v roce 2011, absolutní hodnoty</w:t>
      </w:r>
    </w:p>
    <w:p w:rsidR="009B1EA0" w:rsidRPr="009201EF" w:rsidRDefault="009B1EA0" w:rsidP="009B1EA0">
      <w:pPr>
        <w:spacing w:after="0" w:line="240" w:lineRule="auto"/>
        <w:rPr>
          <w:rFonts w:ascii="Times New Roman" w:hAnsi="Times New Roman" w:cs="Times New Roman"/>
          <w:sz w:val="18"/>
        </w:rPr>
      </w:pPr>
      <w:r>
        <w:rPr>
          <w:noProof/>
          <w:lang w:eastAsia="cs-CZ"/>
        </w:rPr>
        <w:drawing>
          <wp:inline distT="0" distB="0" distL="0" distR="0" wp14:anchorId="6956FB98" wp14:editId="48FEDB26">
            <wp:extent cx="5724525" cy="2276475"/>
            <wp:effectExtent l="76200" t="57150" r="66675" b="857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1EA0" w:rsidRPr="009201EF" w:rsidRDefault="009B1EA0" w:rsidP="009B1EA0">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9B1EA0" w:rsidRDefault="009B1EA0" w:rsidP="009B1EA0">
      <w:pPr>
        <w:rPr>
          <w:rFonts w:ascii="Times New Roman" w:hAnsi="Times New Roman" w:cs="Times New Roman"/>
        </w:rPr>
      </w:pPr>
      <w:r w:rsidRPr="009201EF">
        <w:rPr>
          <w:rFonts w:ascii="Times New Roman" w:hAnsi="Times New Roman" w:cs="Times New Roman"/>
        </w:rPr>
        <w:t>Dominantní je tedy vzdělání střední bez maturity, následuje úpl</w:t>
      </w:r>
      <w:r>
        <w:rPr>
          <w:rFonts w:ascii="Times New Roman" w:hAnsi="Times New Roman" w:cs="Times New Roman"/>
        </w:rPr>
        <w:t>né střední</w:t>
      </w:r>
      <w:r w:rsidRPr="009201EF">
        <w:rPr>
          <w:rFonts w:ascii="Times New Roman" w:hAnsi="Times New Roman" w:cs="Times New Roman"/>
        </w:rPr>
        <w:t xml:space="preserve">. </w:t>
      </w:r>
    </w:p>
    <w:p w:rsidR="009B1EA0" w:rsidRPr="00CC17C7" w:rsidRDefault="009B1EA0" w:rsidP="009B1EA0">
      <w:pPr>
        <w:rPr>
          <w:rFonts w:ascii="Times New Roman" w:hAnsi="Times New Roman" w:cs="Times New Roman"/>
        </w:rPr>
      </w:pPr>
    </w:p>
    <w:p w:rsidR="009B1EA0" w:rsidRPr="009201EF" w:rsidRDefault="009B1EA0" w:rsidP="009B1EA0">
      <w:pPr>
        <w:pStyle w:val="Nadpis4"/>
      </w:pPr>
      <w:bookmarkStart w:id="4" w:name="_Toc420948852"/>
      <w:r w:rsidRPr="009201EF">
        <w:t>Dílčí SWOT analýza</w:t>
      </w:r>
      <w:bookmarkEnd w:id="4"/>
    </w:p>
    <w:p w:rsidR="009B1EA0" w:rsidRPr="00E60A4D" w:rsidRDefault="009B1EA0" w:rsidP="009B1EA0">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19"/>
        <w:gridCol w:w="4523"/>
      </w:tblGrid>
      <w:tr w:rsidR="009B1EA0" w:rsidRPr="009201EF" w:rsidTr="00FC2E01">
        <w:tc>
          <w:tcPr>
            <w:tcW w:w="4606" w:type="dxa"/>
            <w:shd w:val="clear" w:color="auto" w:fill="auto"/>
          </w:tcPr>
          <w:p w:rsidR="009B1EA0" w:rsidRDefault="009B1EA0" w:rsidP="00FC2E0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stabilní počet narozených dětí</w:t>
            </w:r>
          </w:p>
          <w:p w:rsidR="009B1EA0" w:rsidRPr="00B05BFF" w:rsidRDefault="009B1EA0" w:rsidP="00FC2E0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vzdělanostní struktura obyvatelstva dosahuje lepších hodnot než SO ORP Tanvald (dle dosaženého vzdělání) </w:t>
            </w:r>
          </w:p>
          <w:p w:rsidR="009B1EA0" w:rsidRPr="00B05BFF" w:rsidRDefault="009B1EA0" w:rsidP="00FC2E01">
            <w:pPr>
              <w:contextualSpacing/>
              <w:rPr>
                <w:rFonts w:ascii="Times New Roman" w:hAnsi="Times New Roman" w:cs="Times New Roman"/>
                <w:color w:val="17365D" w:themeColor="text2" w:themeShade="BF"/>
              </w:rPr>
            </w:pPr>
          </w:p>
        </w:tc>
        <w:tc>
          <w:tcPr>
            <w:tcW w:w="4606" w:type="dxa"/>
            <w:shd w:val="clear" w:color="auto" w:fill="auto"/>
          </w:tcPr>
          <w:p w:rsidR="009B1EA0" w:rsidRPr="00B05BFF" w:rsidRDefault="009B1EA0" w:rsidP="00FC2E0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klesající vývoj počtu obyvatel</w:t>
            </w:r>
          </w:p>
          <w:p w:rsidR="009B1EA0" w:rsidRPr="00B05BFF" w:rsidRDefault="009B1EA0" w:rsidP="00FC2E0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záporné saldo přirozeného přírůstku obyvatel</w:t>
            </w:r>
          </w:p>
          <w:p w:rsidR="009B1EA0" w:rsidRDefault="009B1EA0" w:rsidP="00FC2E0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demografické </w:t>
            </w:r>
            <w:r w:rsidRPr="00B05BFF">
              <w:rPr>
                <w:rFonts w:ascii="Times New Roman" w:hAnsi="Times New Roman" w:cs="Times New Roman"/>
                <w:color w:val="17365D" w:themeColor="text2" w:themeShade="BF"/>
              </w:rPr>
              <w:t>stárnutí obyvatelstva</w:t>
            </w:r>
          </w:p>
          <w:p w:rsidR="009B1EA0" w:rsidRDefault="009B1EA0" w:rsidP="00FC2E0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skokový nárůst podílu obyvatel starších 65 let od roku 2011</w:t>
            </w:r>
          </w:p>
          <w:p w:rsidR="009B1EA0" w:rsidRPr="00D2679D" w:rsidRDefault="009B1EA0" w:rsidP="00FC2E0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dlouhodobý</w:t>
            </w:r>
            <w:r w:rsidRPr="00B05BFF">
              <w:rPr>
                <w:rFonts w:ascii="Times New Roman" w:hAnsi="Times New Roman" w:cs="Times New Roman"/>
                <w:color w:val="17365D" w:themeColor="text2" w:themeShade="BF"/>
              </w:rPr>
              <w:t xml:space="preserve"> vývoj migračního salda</w:t>
            </w:r>
            <w:r>
              <w:rPr>
                <w:rFonts w:ascii="Times New Roman" w:hAnsi="Times New Roman" w:cs="Times New Roman"/>
                <w:color w:val="17365D" w:themeColor="text2" w:themeShade="BF"/>
              </w:rPr>
              <w:t xml:space="preserve"> v záporných hodnotách</w:t>
            </w:r>
          </w:p>
        </w:tc>
      </w:tr>
      <w:tr w:rsidR="009B1EA0" w:rsidRPr="009201EF" w:rsidTr="00FC2E01">
        <w:tc>
          <w:tcPr>
            <w:tcW w:w="4606" w:type="dxa"/>
            <w:shd w:val="clear" w:color="auto" w:fill="auto"/>
          </w:tcPr>
          <w:p w:rsidR="009B1EA0" w:rsidRDefault="009B1EA0" w:rsidP="00FC2E0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stabilizace počtu obyvatel a zkvalitnění demografické struktury</w:t>
            </w:r>
            <w:r>
              <w:rPr>
                <w:rFonts w:ascii="Times New Roman" w:hAnsi="Times New Roman" w:cs="Times New Roman"/>
                <w:color w:val="17365D" w:themeColor="text2" w:themeShade="BF"/>
              </w:rPr>
              <w:t xml:space="preserve"> stěhováním nových obyvatel</w:t>
            </w:r>
          </w:p>
          <w:p w:rsidR="009B1EA0" w:rsidRPr="00B05BFF" w:rsidRDefault="009B1EA0" w:rsidP="00FC2E01">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rozvoj dostupnosti služeb pro cílovou skupinu seniorů (soc. služby, zdravotnictví, bydlení)</w:t>
            </w:r>
          </w:p>
        </w:tc>
        <w:tc>
          <w:tcPr>
            <w:tcW w:w="4606" w:type="dxa"/>
            <w:shd w:val="clear" w:color="auto" w:fill="auto"/>
          </w:tcPr>
          <w:p w:rsidR="009B1EA0" w:rsidRPr="00B05BFF" w:rsidRDefault="009B1EA0" w:rsidP="00FC2E0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pokračující nepříznivý demografický vývoj stárnutím obyvatelstva</w:t>
            </w:r>
          </w:p>
          <w:p w:rsidR="009B1EA0" w:rsidRPr="00B05BFF" w:rsidRDefault="009B1EA0" w:rsidP="00FC2E01">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n</w:t>
            </w:r>
            <w:r>
              <w:rPr>
                <w:rFonts w:ascii="Times New Roman" w:hAnsi="Times New Roman" w:cs="Times New Roman"/>
                <w:color w:val="17365D" w:themeColor="text2" w:themeShade="BF"/>
              </w:rPr>
              <w:t>epřipravenost obce</w:t>
            </w:r>
            <w:r w:rsidRPr="00B05BFF">
              <w:rPr>
                <w:rFonts w:ascii="Times New Roman" w:hAnsi="Times New Roman" w:cs="Times New Roman"/>
                <w:color w:val="17365D" w:themeColor="text2" w:themeShade="BF"/>
              </w:rPr>
              <w:t xml:space="preserve"> na nárůst obyvatelstva ve věkových skupinách nad 75 let</w:t>
            </w:r>
          </w:p>
        </w:tc>
      </w:tr>
    </w:tbl>
    <w:p w:rsidR="009B1EA0" w:rsidRPr="00E60A4D" w:rsidRDefault="009B1EA0" w:rsidP="009B1EA0">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p>
    <w:p w:rsidR="009B1EA0" w:rsidRPr="009201EF" w:rsidRDefault="009B1EA0" w:rsidP="009B1EA0">
      <w:bookmarkStart w:id="5" w:name="_GoBack"/>
      <w:bookmarkEnd w:id="3"/>
      <w:bookmarkEnd w:id="5"/>
    </w:p>
    <w:sectPr w:rsidR="009B1EA0" w:rsidRPr="009201EF" w:rsidSect="00E60A4D">
      <w:headerReference w:type="default" r:id="rId13"/>
      <w:footerReference w:type="default" r:id="rId14"/>
      <w:headerReference w:type="first" r:id="rId15"/>
      <w:pgSz w:w="11906" w:h="16838"/>
      <w:pgMar w:top="1417" w:right="1417" w:bottom="1417" w:left="1417"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1E" w:rsidRDefault="00AC7E1E" w:rsidP="00420A84">
      <w:pPr>
        <w:spacing w:after="0" w:line="240" w:lineRule="auto"/>
      </w:pPr>
      <w:r>
        <w:separator/>
      </w:r>
    </w:p>
  </w:endnote>
  <w:endnote w:type="continuationSeparator" w:id="0">
    <w:p w:rsidR="00AC7E1E" w:rsidRDefault="00AC7E1E" w:rsidP="0042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30585"/>
      <w:docPartObj>
        <w:docPartGallery w:val="Page Numbers (Bottom of Page)"/>
        <w:docPartUnique/>
      </w:docPartObj>
    </w:sdtPr>
    <w:sdtEndPr/>
    <w:sdtContent>
      <w:p w:rsidR="00A66F3C" w:rsidRDefault="00A66F3C">
        <w:pPr>
          <w:pStyle w:val="Zpat"/>
          <w:jc w:val="right"/>
        </w:pPr>
        <w:r>
          <w:rPr>
            <w:noProof/>
          </w:rPr>
          <w:fldChar w:fldCharType="begin"/>
        </w:r>
        <w:r>
          <w:rPr>
            <w:noProof/>
          </w:rPr>
          <w:instrText>PAGE   \* MERGEFORMAT</w:instrText>
        </w:r>
        <w:r>
          <w:rPr>
            <w:noProof/>
          </w:rPr>
          <w:fldChar w:fldCharType="separate"/>
        </w:r>
        <w:r w:rsidR="005008C9">
          <w:rPr>
            <w:noProof/>
          </w:rPr>
          <w:t>6</w:t>
        </w:r>
        <w:r>
          <w:rPr>
            <w:noProof/>
          </w:rPr>
          <w:fldChar w:fldCharType="end"/>
        </w:r>
      </w:p>
    </w:sdtContent>
  </w:sdt>
  <w:p w:rsidR="00A66F3C" w:rsidRDefault="00A66F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1E" w:rsidRDefault="00AC7E1E" w:rsidP="00420A84">
      <w:pPr>
        <w:spacing w:after="0" w:line="240" w:lineRule="auto"/>
      </w:pPr>
      <w:r>
        <w:separator/>
      </w:r>
    </w:p>
  </w:footnote>
  <w:footnote w:type="continuationSeparator" w:id="0">
    <w:p w:rsidR="00AC7E1E" w:rsidRDefault="00AC7E1E" w:rsidP="0042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3C" w:rsidRPr="00D9470F" w:rsidRDefault="00A66F3C" w:rsidP="00A0204F">
    <w:pPr>
      <w:pStyle w:val="Zhlav"/>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14:anchorId="417ECBBF" wp14:editId="385B39BA">
          <wp:simplePos x="0" y="0"/>
          <wp:positionH relativeFrom="column">
            <wp:posOffset>4100830</wp:posOffset>
          </wp:positionH>
          <wp:positionV relativeFrom="paragraph">
            <wp:posOffset>-68580</wp:posOffset>
          </wp:positionV>
          <wp:extent cx="2105025" cy="43624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A66F3C" w:rsidRDefault="00A66F3C">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3C" w:rsidRPr="00D9470F" w:rsidRDefault="00A66F3C" w:rsidP="00A0204F">
    <w:pPr>
      <w:pStyle w:val="Zhlav"/>
      <w:rPr>
        <w:rFonts w:ascii="Times New Roman" w:hAnsi="Times New Roman" w:cs="Times New Roman"/>
        <w:sz w:val="24"/>
        <w:szCs w:val="24"/>
      </w:rPr>
    </w:pPr>
    <w:r>
      <w:rPr>
        <w:noProof/>
        <w:lang w:eastAsia="cs-CZ"/>
      </w:rPr>
      <w:drawing>
        <wp:anchor distT="0" distB="0" distL="114300" distR="114300" simplePos="0" relativeHeight="251656192" behindDoc="0" locked="0" layoutInCell="1" allowOverlap="1" wp14:anchorId="417ECBBF" wp14:editId="385B39BA">
          <wp:simplePos x="0" y="0"/>
          <wp:positionH relativeFrom="column">
            <wp:posOffset>4100830</wp:posOffset>
          </wp:positionH>
          <wp:positionV relativeFrom="paragraph">
            <wp:posOffset>-68580</wp:posOffset>
          </wp:positionV>
          <wp:extent cx="2105025" cy="43624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A66F3C" w:rsidRDefault="00A66F3C">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527"/>
    <w:multiLevelType w:val="hybridMultilevel"/>
    <w:tmpl w:val="98CC736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A0BB1"/>
    <w:multiLevelType w:val="hybridMultilevel"/>
    <w:tmpl w:val="22FA58D6"/>
    <w:lvl w:ilvl="0" w:tplc="51A232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F87A83"/>
    <w:multiLevelType w:val="hybridMultilevel"/>
    <w:tmpl w:val="7618F9EC"/>
    <w:lvl w:ilvl="0" w:tplc="A306BA80">
      <w:start w:val="1"/>
      <w:numFmt w:val="bullet"/>
      <w:lvlText w:val=""/>
      <w:lvlJc w:val="left"/>
      <w:pPr>
        <w:ind w:left="4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D90575"/>
    <w:multiLevelType w:val="hybridMultilevel"/>
    <w:tmpl w:val="1DAC98D0"/>
    <w:lvl w:ilvl="0" w:tplc="A306BA80">
      <w:start w:val="1"/>
      <w:numFmt w:val="bullet"/>
      <w:lvlText w:val=""/>
      <w:lvlJc w:val="left"/>
      <w:pPr>
        <w:ind w:left="780" w:hanging="360"/>
      </w:pPr>
      <w:rPr>
        <w:rFonts w:ascii="Symbol" w:hAnsi="Symbol" w:hint="default"/>
        <w:color w:val="17365D" w:themeColor="text2" w:themeShade="BF"/>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9726ACB"/>
    <w:multiLevelType w:val="hybridMultilevel"/>
    <w:tmpl w:val="960E11F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A0039A"/>
    <w:multiLevelType w:val="hybridMultilevel"/>
    <w:tmpl w:val="C15C7EB6"/>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1C6B7D08"/>
    <w:multiLevelType w:val="hybridMultilevel"/>
    <w:tmpl w:val="F288E7F6"/>
    <w:lvl w:ilvl="0" w:tplc="A306BA80">
      <w:start w:val="1"/>
      <w:numFmt w:val="bullet"/>
      <w:lvlText w:val=""/>
      <w:lvlJc w:val="left"/>
      <w:pPr>
        <w:ind w:left="780" w:hanging="360"/>
      </w:pPr>
      <w:rPr>
        <w:rFonts w:ascii="Symbol" w:hAnsi="Symbol" w:hint="default"/>
        <w:color w:val="17365D" w:themeColor="text2" w:themeShade="BF"/>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1E06719E"/>
    <w:multiLevelType w:val="hybridMultilevel"/>
    <w:tmpl w:val="0CFED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125FC3"/>
    <w:multiLevelType w:val="hybridMultilevel"/>
    <w:tmpl w:val="7E006746"/>
    <w:lvl w:ilvl="0" w:tplc="FEEC4F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4F7FB2"/>
    <w:multiLevelType w:val="hybridMultilevel"/>
    <w:tmpl w:val="6CC8D100"/>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6B77E55"/>
    <w:multiLevelType w:val="hybridMultilevel"/>
    <w:tmpl w:val="CC4619C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412CE9"/>
    <w:multiLevelType w:val="hybridMultilevel"/>
    <w:tmpl w:val="6310E38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585E66"/>
    <w:multiLevelType w:val="hybridMultilevel"/>
    <w:tmpl w:val="64766DE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9E177A"/>
    <w:multiLevelType w:val="hybridMultilevel"/>
    <w:tmpl w:val="9B36045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360D3"/>
    <w:multiLevelType w:val="hybridMultilevel"/>
    <w:tmpl w:val="91584E5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4F012B"/>
    <w:multiLevelType w:val="hybridMultilevel"/>
    <w:tmpl w:val="0FC43D4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6B15A4"/>
    <w:multiLevelType w:val="hybridMultilevel"/>
    <w:tmpl w:val="E3F26090"/>
    <w:lvl w:ilvl="0" w:tplc="A306BA80">
      <w:start w:val="1"/>
      <w:numFmt w:val="bullet"/>
      <w:lvlText w:val=""/>
      <w:lvlJc w:val="left"/>
      <w:pPr>
        <w:ind w:left="1080" w:hanging="360"/>
      </w:pPr>
      <w:rPr>
        <w:rFonts w:ascii="Symbol" w:hAnsi="Symbol" w:hint="default"/>
        <w:color w:val="17365D" w:themeColor="text2" w:themeShade="BF"/>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6E05DB1"/>
    <w:multiLevelType w:val="hybridMultilevel"/>
    <w:tmpl w:val="2898A17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660542"/>
    <w:multiLevelType w:val="hybridMultilevel"/>
    <w:tmpl w:val="D318BC46"/>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D56C78"/>
    <w:multiLevelType w:val="hybridMultilevel"/>
    <w:tmpl w:val="47B67F58"/>
    <w:lvl w:ilvl="0" w:tplc="369202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2A15A5D"/>
    <w:multiLevelType w:val="hybridMultilevel"/>
    <w:tmpl w:val="9A4C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0211E8"/>
    <w:multiLevelType w:val="hybridMultilevel"/>
    <w:tmpl w:val="266EA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17333F"/>
    <w:multiLevelType w:val="hybridMultilevel"/>
    <w:tmpl w:val="529EFA76"/>
    <w:lvl w:ilvl="0" w:tplc="A306BA80">
      <w:start w:val="1"/>
      <w:numFmt w:val="bullet"/>
      <w:lvlText w:val=""/>
      <w:lvlJc w:val="left"/>
      <w:pPr>
        <w:ind w:left="776" w:hanging="360"/>
      </w:pPr>
      <w:rPr>
        <w:rFonts w:ascii="Symbol" w:hAnsi="Symbol" w:hint="default"/>
        <w:color w:val="17365D" w:themeColor="text2" w:themeShade="BF"/>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3" w15:restartNumberingAfterBreak="0">
    <w:nsid w:val="47775890"/>
    <w:multiLevelType w:val="hybridMultilevel"/>
    <w:tmpl w:val="AD0C35F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4B2660"/>
    <w:multiLevelType w:val="hybridMultilevel"/>
    <w:tmpl w:val="B226FC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A73671C"/>
    <w:multiLevelType w:val="hybridMultilevel"/>
    <w:tmpl w:val="EA6A8FB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AB21BF"/>
    <w:multiLevelType w:val="hybridMultilevel"/>
    <w:tmpl w:val="898EB23C"/>
    <w:lvl w:ilvl="0" w:tplc="3A7CEF2E">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4C6320"/>
    <w:multiLevelType w:val="hybridMultilevel"/>
    <w:tmpl w:val="3BEC41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58069F"/>
    <w:multiLevelType w:val="hybridMultilevel"/>
    <w:tmpl w:val="814E2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2845BB"/>
    <w:multiLevelType w:val="hybridMultilevel"/>
    <w:tmpl w:val="A91C38E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10253E"/>
    <w:multiLevelType w:val="hybridMultilevel"/>
    <w:tmpl w:val="E728A9F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5A2627"/>
    <w:multiLevelType w:val="hybridMultilevel"/>
    <w:tmpl w:val="A060181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123AA6"/>
    <w:multiLevelType w:val="hybridMultilevel"/>
    <w:tmpl w:val="58A2A8B2"/>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3A4425"/>
    <w:multiLevelType w:val="hybridMultilevel"/>
    <w:tmpl w:val="CF94FD76"/>
    <w:lvl w:ilvl="0" w:tplc="28D859C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C87C7F"/>
    <w:multiLevelType w:val="hybridMultilevel"/>
    <w:tmpl w:val="F29E536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A61837"/>
    <w:multiLevelType w:val="hybridMultilevel"/>
    <w:tmpl w:val="7C28795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2E744D"/>
    <w:multiLevelType w:val="hybridMultilevel"/>
    <w:tmpl w:val="E98C343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0105DC"/>
    <w:multiLevelType w:val="hybridMultilevel"/>
    <w:tmpl w:val="F010550C"/>
    <w:lvl w:ilvl="0" w:tplc="A306BA80">
      <w:start w:val="1"/>
      <w:numFmt w:val="bullet"/>
      <w:lvlText w:val=""/>
      <w:lvlJc w:val="left"/>
      <w:pPr>
        <w:ind w:left="4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2553A5"/>
    <w:multiLevelType w:val="hybridMultilevel"/>
    <w:tmpl w:val="5D7A781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FB793A"/>
    <w:multiLevelType w:val="hybridMultilevel"/>
    <w:tmpl w:val="E460FD2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EF20D28"/>
    <w:multiLevelType w:val="hybridMultilevel"/>
    <w:tmpl w:val="3EBE5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4BE77BE"/>
    <w:multiLevelType w:val="hybridMultilevel"/>
    <w:tmpl w:val="E7009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5411C0B"/>
    <w:multiLevelType w:val="hybridMultilevel"/>
    <w:tmpl w:val="EB76CAE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7E055FFC"/>
    <w:multiLevelType w:val="hybridMultilevel"/>
    <w:tmpl w:val="169A766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77495A"/>
    <w:multiLevelType w:val="hybridMultilevel"/>
    <w:tmpl w:val="8220889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3"/>
  </w:num>
  <w:num w:numId="6">
    <w:abstractNumId w:val="16"/>
  </w:num>
  <w:num w:numId="7">
    <w:abstractNumId w:val="32"/>
  </w:num>
  <w:num w:numId="8">
    <w:abstractNumId w:val="3"/>
  </w:num>
  <w:num w:numId="9">
    <w:abstractNumId w:val="11"/>
  </w:num>
  <w:num w:numId="10">
    <w:abstractNumId w:val="17"/>
  </w:num>
  <w:num w:numId="11">
    <w:abstractNumId w:val="12"/>
  </w:num>
  <w:num w:numId="12">
    <w:abstractNumId w:val="5"/>
  </w:num>
  <w:num w:numId="13">
    <w:abstractNumId w:val="9"/>
  </w:num>
  <w:num w:numId="14">
    <w:abstractNumId w:val="29"/>
  </w:num>
  <w:num w:numId="15">
    <w:abstractNumId w:val="31"/>
  </w:num>
  <w:num w:numId="16">
    <w:abstractNumId w:val="43"/>
  </w:num>
  <w:num w:numId="17">
    <w:abstractNumId w:val="44"/>
  </w:num>
  <w:num w:numId="18">
    <w:abstractNumId w:val="36"/>
  </w:num>
  <w:num w:numId="19">
    <w:abstractNumId w:val="4"/>
  </w:num>
  <w:num w:numId="20">
    <w:abstractNumId w:val="30"/>
  </w:num>
  <w:num w:numId="21">
    <w:abstractNumId w:val="38"/>
  </w:num>
  <w:num w:numId="22">
    <w:abstractNumId w:val="34"/>
  </w:num>
  <w:num w:numId="23">
    <w:abstractNumId w:val="26"/>
  </w:num>
  <w:num w:numId="24">
    <w:abstractNumId w:val="37"/>
  </w:num>
  <w:num w:numId="25">
    <w:abstractNumId w:val="2"/>
  </w:num>
  <w:num w:numId="26">
    <w:abstractNumId w:val="22"/>
  </w:num>
  <w:num w:numId="27">
    <w:abstractNumId w:val="6"/>
  </w:num>
  <w:num w:numId="28">
    <w:abstractNumId w:val="18"/>
  </w:num>
  <w:num w:numId="29">
    <w:abstractNumId w:val="10"/>
  </w:num>
  <w:num w:numId="30">
    <w:abstractNumId w:val="39"/>
  </w:num>
  <w:num w:numId="31">
    <w:abstractNumId w:val="35"/>
  </w:num>
  <w:num w:numId="32">
    <w:abstractNumId w:val="25"/>
  </w:num>
  <w:num w:numId="33">
    <w:abstractNumId w:val="15"/>
  </w:num>
  <w:num w:numId="34">
    <w:abstractNumId w:val="23"/>
  </w:num>
  <w:num w:numId="35">
    <w:abstractNumId w:val="0"/>
  </w:num>
  <w:num w:numId="36">
    <w:abstractNumId w:val="40"/>
  </w:num>
  <w:num w:numId="37">
    <w:abstractNumId w:val="28"/>
  </w:num>
  <w:num w:numId="38">
    <w:abstractNumId w:val="21"/>
  </w:num>
  <w:num w:numId="39">
    <w:abstractNumId w:val="41"/>
  </w:num>
  <w:num w:numId="40">
    <w:abstractNumId w:val="19"/>
  </w:num>
  <w:num w:numId="41">
    <w:abstractNumId w:val="7"/>
  </w:num>
  <w:num w:numId="42">
    <w:abstractNumId w:val="27"/>
  </w:num>
  <w:num w:numId="43">
    <w:abstractNumId w:val="24"/>
  </w:num>
  <w:num w:numId="44">
    <w:abstractNumId w:val="20"/>
  </w:num>
  <w:num w:numId="45">
    <w:abstractNumId w:val="1"/>
  </w:num>
  <w:num w:numId="4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EF"/>
    <w:rsid w:val="00001673"/>
    <w:rsid w:val="000055BA"/>
    <w:rsid w:val="000119E5"/>
    <w:rsid w:val="000128E7"/>
    <w:rsid w:val="0001468F"/>
    <w:rsid w:val="000151F2"/>
    <w:rsid w:val="00017990"/>
    <w:rsid w:val="00017BE0"/>
    <w:rsid w:val="000204CD"/>
    <w:rsid w:val="00021752"/>
    <w:rsid w:val="00021877"/>
    <w:rsid w:val="00025604"/>
    <w:rsid w:val="00025982"/>
    <w:rsid w:val="00027315"/>
    <w:rsid w:val="000307AF"/>
    <w:rsid w:val="0003245B"/>
    <w:rsid w:val="00032743"/>
    <w:rsid w:val="00034429"/>
    <w:rsid w:val="0003593A"/>
    <w:rsid w:val="000379C3"/>
    <w:rsid w:val="000407DA"/>
    <w:rsid w:val="0004093B"/>
    <w:rsid w:val="00040A6E"/>
    <w:rsid w:val="00041D6D"/>
    <w:rsid w:val="00051F4B"/>
    <w:rsid w:val="00052997"/>
    <w:rsid w:val="0005360D"/>
    <w:rsid w:val="00053D23"/>
    <w:rsid w:val="00053EE8"/>
    <w:rsid w:val="00055909"/>
    <w:rsid w:val="00055B93"/>
    <w:rsid w:val="00056115"/>
    <w:rsid w:val="00057B28"/>
    <w:rsid w:val="00063D28"/>
    <w:rsid w:val="000642C1"/>
    <w:rsid w:val="000643A7"/>
    <w:rsid w:val="00070FBE"/>
    <w:rsid w:val="00072F05"/>
    <w:rsid w:val="000736D1"/>
    <w:rsid w:val="00077E7F"/>
    <w:rsid w:val="000831E1"/>
    <w:rsid w:val="00085B8E"/>
    <w:rsid w:val="00096AE9"/>
    <w:rsid w:val="000A2838"/>
    <w:rsid w:val="000A62FA"/>
    <w:rsid w:val="000A798E"/>
    <w:rsid w:val="000B06A1"/>
    <w:rsid w:val="000B2F14"/>
    <w:rsid w:val="000C09C5"/>
    <w:rsid w:val="000C2ED3"/>
    <w:rsid w:val="000D1B89"/>
    <w:rsid w:val="000D1CCB"/>
    <w:rsid w:val="000D6655"/>
    <w:rsid w:val="000E1C01"/>
    <w:rsid w:val="000E7318"/>
    <w:rsid w:val="000F3912"/>
    <w:rsid w:val="000F5D98"/>
    <w:rsid w:val="000F7130"/>
    <w:rsid w:val="00102630"/>
    <w:rsid w:val="001039D2"/>
    <w:rsid w:val="0010675A"/>
    <w:rsid w:val="00115E71"/>
    <w:rsid w:val="00116DB7"/>
    <w:rsid w:val="00117818"/>
    <w:rsid w:val="001230E6"/>
    <w:rsid w:val="00123F2B"/>
    <w:rsid w:val="001276A4"/>
    <w:rsid w:val="00132BE7"/>
    <w:rsid w:val="00134505"/>
    <w:rsid w:val="00144DAB"/>
    <w:rsid w:val="001453B1"/>
    <w:rsid w:val="00147D71"/>
    <w:rsid w:val="00157DBF"/>
    <w:rsid w:val="00162A6A"/>
    <w:rsid w:val="00174906"/>
    <w:rsid w:val="00175202"/>
    <w:rsid w:val="00175FDA"/>
    <w:rsid w:val="0018510F"/>
    <w:rsid w:val="00186633"/>
    <w:rsid w:val="00186667"/>
    <w:rsid w:val="001A7BD6"/>
    <w:rsid w:val="001B37C9"/>
    <w:rsid w:val="001B65B2"/>
    <w:rsid w:val="001C58D7"/>
    <w:rsid w:val="001C5DF2"/>
    <w:rsid w:val="001D2BD7"/>
    <w:rsid w:val="001D7BF2"/>
    <w:rsid w:val="001E331A"/>
    <w:rsid w:val="001E49FD"/>
    <w:rsid w:val="001E5730"/>
    <w:rsid w:val="001F4554"/>
    <w:rsid w:val="001F50BB"/>
    <w:rsid w:val="00200B0A"/>
    <w:rsid w:val="002014FF"/>
    <w:rsid w:val="00202989"/>
    <w:rsid w:val="002103AA"/>
    <w:rsid w:val="00213121"/>
    <w:rsid w:val="002145D1"/>
    <w:rsid w:val="00222BC4"/>
    <w:rsid w:val="00222C28"/>
    <w:rsid w:val="0022351B"/>
    <w:rsid w:val="00223F38"/>
    <w:rsid w:val="00245332"/>
    <w:rsid w:val="00251AB4"/>
    <w:rsid w:val="0025503C"/>
    <w:rsid w:val="00261D9F"/>
    <w:rsid w:val="00265246"/>
    <w:rsid w:val="00272C67"/>
    <w:rsid w:val="00275257"/>
    <w:rsid w:val="00276D3C"/>
    <w:rsid w:val="00291CF7"/>
    <w:rsid w:val="00295507"/>
    <w:rsid w:val="0029715C"/>
    <w:rsid w:val="002A1DE6"/>
    <w:rsid w:val="002A270C"/>
    <w:rsid w:val="002A3FC7"/>
    <w:rsid w:val="002B0D34"/>
    <w:rsid w:val="002B12BA"/>
    <w:rsid w:val="002B1D2D"/>
    <w:rsid w:val="002B1E37"/>
    <w:rsid w:val="002C4ECF"/>
    <w:rsid w:val="002C7341"/>
    <w:rsid w:val="002D1908"/>
    <w:rsid w:val="002D7F64"/>
    <w:rsid w:val="002E2A31"/>
    <w:rsid w:val="002F4F7D"/>
    <w:rsid w:val="002F7518"/>
    <w:rsid w:val="003039A2"/>
    <w:rsid w:val="0030483C"/>
    <w:rsid w:val="003071E8"/>
    <w:rsid w:val="00313A55"/>
    <w:rsid w:val="00315490"/>
    <w:rsid w:val="00316A2B"/>
    <w:rsid w:val="003205D7"/>
    <w:rsid w:val="00320855"/>
    <w:rsid w:val="00323D54"/>
    <w:rsid w:val="00324CCC"/>
    <w:rsid w:val="00327D78"/>
    <w:rsid w:val="0033007C"/>
    <w:rsid w:val="00331062"/>
    <w:rsid w:val="00333991"/>
    <w:rsid w:val="003375D2"/>
    <w:rsid w:val="003415B0"/>
    <w:rsid w:val="00346FD9"/>
    <w:rsid w:val="00347A93"/>
    <w:rsid w:val="00350057"/>
    <w:rsid w:val="003555B6"/>
    <w:rsid w:val="00360102"/>
    <w:rsid w:val="00364534"/>
    <w:rsid w:val="00364E3B"/>
    <w:rsid w:val="003650CF"/>
    <w:rsid w:val="00367F88"/>
    <w:rsid w:val="0037235E"/>
    <w:rsid w:val="00374BDB"/>
    <w:rsid w:val="00380A4D"/>
    <w:rsid w:val="003812C2"/>
    <w:rsid w:val="00383349"/>
    <w:rsid w:val="00385587"/>
    <w:rsid w:val="00386512"/>
    <w:rsid w:val="00391729"/>
    <w:rsid w:val="00391946"/>
    <w:rsid w:val="003937AF"/>
    <w:rsid w:val="00394C5A"/>
    <w:rsid w:val="00396E83"/>
    <w:rsid w:val="003A0820"/>
    <w:rsid w:val="003B4990"/>
    <w:rsid w:val="003B4FF9"/>
    <w:rsid w:val="003B7835"/>
    <w:rsid w:val="003C34B4"/>
    <w:rsid w:val="003C3D97"/>
    <w:rsid w:val="003D63D7"/>
    <w:rsid w:val="003E08DC"/>
    <w:rsid w:val="003F4F53"/>
    <w:rsid w:val="00400CC7"/>
    <w:rsid w:val="00402452"/>
    <w:rsid w:val="00402D3E"/>
    <w:rsid w:val="00403410"/>
    <w:rsid w:val="004108B6"/>
    <w:rsid w:val="00415A3C"/>
    <w:rsid w:val="00415BB3"/>
    <w:rsid w:val="004170DF"/>
    <w:rsid w:val="00420A84"/>
    <w:rsid w:val="004233F1"/>
    <w:rsid w:val="004246EA"/>
    <w:rsid w:val="004254AD"/>
    <w:rsid w:val="00426604"/>
    <w:rsid w:val="004354C0"/>
    <w:rsid w:val="004356F9"/>
    <w:rsid w:val="00450C28"/>
    <w:rsid w:val="00455E6D"/>
    <w:rsid w:val="00462702"/>
    <w:rsid w:val="00464FD3"/>
    <w:rsid w:val="00473F0D"/>
    <w:rsid w:val="00481165"/>
    <w:rsid w:val="0048212A"/>
    <w:rsid w:val="0048428B"/>
    <w:rsid w:val="00485B89"/>
    <w:rsid w:val="00491666"/>
    <w:rsid w:val="00491912"/>
    <w:rsid w:val="004940B5"/>
    <w:rsid w:val="004963C7"/>
    <w:rsid w:val="004A18E8"/>
    <w:rsid w:val="004A2C13"/>
    <w:rsid w:val="004A45BA"/>
    <w:rsid w:val="004B0AAC"/>
    <w:rsid w:val="004B333C"/>
    <w:rsid w:val="004B342E"/>
    <w:rsid w:val="004B4F14"/>
    <w:rsid w:val="004B63C4"/>
    <w:rsid w:val="004B6DF6"/>
    <w:rsid w:val="004C2C7C"/>
    <w:rsid w:val="004D224A"/>
    <w:rsid w:val="004D492A"/>
    <w:rsid w:val="004D613D"/>
    <w:rsid w:val="004E666D"/>
    <w:rsid w:val="004E7FD9"/>
    <w:rsid w:val="004F0992"/>
    <w:rsid w:val="004F0D6B"/>
    <w:rsid w:val="004F31F8"/>
    <w:rsid w:val="004F605A"/>
    <w:rsid w:val="004F60E1"/>
    <w:rsid w:val="004F7313"/>
    <w:rsid w:val="005008C9"/>
    <w:rsid w:val="00502088"/>
    <w:rsid w:val="0050280B"/>
    <w:rsid w:val="005043BE"/>
    <w:rsid w:val="005056F7"/>
    <w:rsid w:val="00513C33"/>
    <w:rsid w:val="00514011"/>
    <w:rsid w:val="0051689D"/>
    <w:rsid w:val="00523D9F"/>
    <w:rsid w:val="00525020"/>
    <w:rsid w:val="00531F77"/>
    <w:rsid w:val="00534474"/>
    <w:rsid w:val="00536F61"/>
    <w:rsid w:val="0054080F"/>
    <w:rsid w:val="00543120"/>
    <w:rsid w:val="00543FFF"/>
    <w:rsid w:val="00552366"/>
    <w:rsid w:val="005558E2"/>
    <w:rsid w:val="00562A51"/>
    <w:rsid w:val="00565357"/>
    <w:rsid w:val="005661D6"/>
    <w:rsid w:val="00580400"/>
    <w:rsid w:val="00591C75"/>
    <w:rsid w:val="00595358"/>
    <w:rsid w:val="00595736"/>
    <w:rsid w:val="005A104B"/>
    <w:rsid w:val="005A29D1"/>
    <w:rsid w:val="005A4C88"/>
    <w:rsid w:val="005B09FC"/>
    <w:rsid w:val="005B3057"/>
    <w:rsid w:val="005B571A"/>
    <w:rsid w:val="005B6065"/>
    <w:rsid w:val="005C2C0B"/>
    <w:rsid w:val="005D3084"/>
    <w:rsid w:val="005D4446"/>
    <w:rsid w:val="005E21C3"/>
    <w:rsid w:val="005E2907"/>
    <w:rsid w:val="005E4359"/>
    <w:rsid w:val="005E485F"/>
    <w:rsid w:val="005E67E2"/>
    <w:rsid w:val="005E78D3"/>
    <w:rsid w:val="005E791A"/>
    <w:rsid w:val="005F5B43"/>
    <w:rsid w:val="005F7A6A"/>
    <w:rsid w:val="00600248"/>
    <w:rsid w:val="00600E94"/>
    <w:rsid w:val="006019CF"/>
    <w:rsid w:val="0060215E"/>
    <w:rsid w:val="00604785"/>
    <w:rsid w:val="0060651A"/>
    <w:rsid w:val="00607BAF"/>
    <w:rsid w:val="006146C5"/>
    <w:rsid w:val="006163DE"/>
    <w:rsid w:val="00620484"/>
    <w:rsid w:val="00624AF7"/>
    <w:rsid w:val="006300FF"/>
    <w:rsid w:val="00642A0C"/>
    <w:rsid w:val="00642C20"/>
    <w:rsid w:val="00650C6D"/>
    <w:rsid w:val="006536B6"/>
    <w:rsid w:val="0067049D"/>
    <w:rsid w:val="0067064C"/>
    <w:rsid w:val="00672C19"/>
    <w:rsid w:val="00674E78"/>
    <w:rsid w:val="00675A13"/>
    <w:rsid w:val="00683529"/>
    <w:rsid w:val="00683C35"/>
    <w:rsid w:val="006841FC"/>
    <w:rsid w:val="006A180C"/>
    <w:rsid w:val="006A3185"/>
    <w:rsid w:val="006A6B46"/>
    <w:rsid w:val="006B0CAA"/>
    <w:rsid w:val="006B24C9"/>
    <w:rsid w:val="006B5855"/>
    <w:rsid w:val="006C190B"/>
    <w:rsid w:val="006C1E08"/>
    <w:rsid w:val="006C2CCA"/>
    <w:rsid w:val="006D5813"/>
    <w:rsid w:val="006D753A"/>
    <w:rsid w:val="006F1281"/>
    <w:rsid w:val="006F1572"/>
    <w:rsid w:val="006F2AEE"/>
    <w:rsid w:val="006F51DC"/>
    <w:rsid w:val="006F5CE5"/>
    <w:rsid w:val="00701638"/>
    <w:rsid w:val="0070175A"/>
    <w:rsid w:val="00710B2A"/>
    <w:rsid w:val="00712F7A"/>
    <w:rsid w:val="007159DB"/>
    <w:rsid w:val="00717D40"/>
    <w:rsid w:val="00724A35"/>
    <w:rsid w:val="00727C14"/>
    <w:rsid w:val="0073713F"/>
    <w:rsid w:val="00744AA2"/>
    <w:rsid w:val="00745A54"/>
    <w:rsid w:val="00745FC7"/>
    <w:rsid w:val="00752CA3"/>
    <w:rsid w:val="007547E6"/>
    <w:rsid w:val="00754CE7"/>
    <w:rsid w:val="00763D3D"/>
    <w:rsid w:val="0076497C"/>
    <w:rsid w:val="007727FA"/>
    <w:rsid w:val="00774D5B"/>
    <w:rsid w:val="00792878"/>
    <w:rsid w:val="0079511C"/>
    <w:rsid w:val="007A2CA3"/>
    <w:rsid w:val="007B22A6"/>
    <w:rsid w:val="007B24A9"/>
    <w:rsid w:val="007B4A22"/>
    <w:rsid w:val="007B67E5"/>
    <w:rsid w:val="007C44A3"/>
    <w:rsid w:val="007C53BC"/>
    <w:rsid w:val="007D157B"/>
    <w:rsid w:val="007E5298"/>
    <w:rsid w:val="007F47B1"/>
    <w:rsid w:val="007F5B58"/>
    <w:rsid w:val="007F5E29"/>
    <w:rsid w:val="007F64D6"/>
    <w:rsid w:val="007F7934"/>
    <w:rsid w:val="008022F7"/>
    <w:rsid w:val="0080275D"/>
    <w:rsid w:val="00807A85"/>
    <w:rsid w:val="008104BD"/>
    <w:rsid w:val="008142D1"/>
    <w:rsid w:val="00814A42"/>
    <w:rsid w:val="008159DF"/>
    <w:rsid w:val="00826437"/>
    <w:rsid w:val="00831D37"/>
    <w:rsid w:val="008344D6"/>
    <w:rsid w:val="008346F5"/>
    <w:rsid w:val="0083479B"/>
    <w:rsid w:val="00841432"/>
    <w:rsid w:val="00842BCB"/>
    <w:rsid w:val="00847DD8"/>
    <w:rsid w:val="008521C0"/>
    <w:rsid w:val="00852E2E"/>
    <w:rsid w:val="00856F35"/>
    <w:rsid w:val="00862B4E"/>
    <w:rsid w:val="00873FF5"/>
    <w:rsid w:val="00874203"/>
    <w:rsid w:val="0087492C"/>
    <w:rsid w:val="008775B3"/>
    <w:rsid w:val="00881939"/>
    <w:rsid w:val="008872DC"/>
    <w:rsid w:val="008A0583"/>
    <w:rsid w:val="008A1286"/>
    <w:rsid w:val="008A1B00"/>
    <w:rsid w:val="008A4B19"/>
    <w:rsid w:val="008A624C"/>
    <w:rsid w:val="008A7622"/>
    <w:rsid w:val="008B1898"/>
    <w:rsid w:val="008B6C93"/>
    <w:rsid w:val="008C3232"/>
    <w:rsid w:val="008C73BB"/>
    <w:rsid w:val="008D04DE"/>
    <w:rsid w:val="008D36E1"/>
    <w:rsid w:val="008D3DE3"/>
    <w:rsid w:val="008E66E0"/>
    <w:rsid w:val="008F117C"/>
    <w:rsid w:val="008F2AAD"/>
    <w:rsid w:val="008F2B23"/>
    <w:rsid w:val="008F7607"/>
    <w:rsid w:val="008F7C22"/>
    <w:rsid w:val="00901D07"/>
    <w:rsid w:val="00906399"/>
    <w:rsid w:val="0091306F"/>
    <w:rsid w:val="00916B03"/>
    <w:rsid w:val="00916D41"/>
    <w:rsid w:val="009201EF"/>
    <w:rsid w:val="00922BB7"/>
    <w:rsid w:val="00925957"/>
    <w:rsid w:val="00930910"/>
    <w:rsid w:val="00931A90"/>
    <w:rsid w:val="00933FF3"/>
    <w:rsid w:val="00941AAF"/>
    <w:rsid w:val="009422F9"/>
    <w:rsid w:val="0095061F"/>
    <w:rsid w:val="00954D79"/>
    <w:rsid w:val="00956E81"/>
    <w:rsid w:val="009639DC"/>
    <w:rsid w:val="009647D4"/>
    <w:rsid w:val="00967F9F"/>
    <w:rsid w:val="00970F06"/>
    <w:rsid w:val="009723E9"/>
    <w:rsid w:val="00975020"/>
    <w:rsid w:val="00975444"/>
    <w:rsid w:val="00977A17"/>
    <w:rsid w:val="00981E65"/>
    <w:rsid w:val="00987E97"/>
    <w:rsid w:val="009938C1"/>
    <w:rsid w:val="009A08AB"/>
    <w:rsid w:val="009A097F"/>
    <w:rsid w:val="009B10F6"/>
    <w:rsid w:val="009B1EA0"/>
    <w:rsid w:val="009B380E"/>
    <w:rsid w:val="009C24DC"/>
    <w:rsid w:val="009C5D5D"/>
    <w:rsid w:val="009D0BEB"/>
    <w:rsid w:val="009D0EDB"/>
    <w:rsid w:val="009D173F"/>
    <w:rsid w:val="009D70D1"/>
    <w:rsid w:val="009D770C"/>
    <w:rsid w:val="009E2BB9"/>
    <w:rsid w:val="009E4C1D"/>
    <w:rsid w:val="009E5C85"/>
    <w:rsid w:val="009F05E3"/>
    <w:rsid w:val="009F2945"/>
    <w:rsid w:val="009F3D75"/>
    <w:rsid w:val="009F4550"/>
    <w:rsid w:val="009F5206"/>
    <w:rsid w:val="009F54A6"/>
    <w:rsid w:val="00A0204F"/>
    <w:rsid w:val="00A111A5"/>
    <w:rsid w:val="00A1207A"/>
    <w:rsid w:val="00A12362"/>
    <w:rsid w:val="00A1402F"/>
    <w:rsid w:val="00A16C0F"/>
    <w:rsid w:val="00A17D84"/>
    <w:rsid w:val="00A35F11"/>
    <w:rsid w:val="00A51012"/>
    <w:rsid w:val="00A53B17"/>
    <w:rsid w:val="00A564CC"/>
    <w:rsid w:val="00A56ABF"/>
    <w:rsid w:val="00A60737"/>
    <w:rsid w:val="00A638E4"/>
    <w:rsid w:val="00A6503E"/>
    <w:rsid w:val="00A65539"/>
    <w:rsid w:val="00A65D8D"/>
    <w:rsid w:val="00A66F3C"/>
    <w:rsid w:val="00A67199"/>
    <w:rsid w:val="00A67D5C"/>
    <w:rsid w:val="00A7022B"/>
    <w:rsid w:val="00A74A78"/>
    <w:rsid w:val="00A7563C"/>
    <w:rsid w:val="00A77BC7"/>
    <w:rsid w:val="00A84392"/>
    <w:rsid w:val="00A906C0"/>
    <w:rsid w:val="00A909D4"/>
    <w:rsid w:val="00A92ADD"/>
    <w:rsid w:val="00A94E1D"/>
    <w:rsid w:val="00A9743E"/>
    <w:rsid w:val="00AA0BAA"/>
    <w:rsid w:val="00AB1937"/>
    <w:rsid w:val="00AC0E5D"/>
    <w:rsid w:val="00AC642C"/>
    <w:rsid w:val="00AC6695"/>
    <w:rsid w:val="00AC7E1E"/>
    <w:rsid w:val="00AD1E4D"/>
    <w:rsid w:val="00AD2338"/>
    <w:rsid w:val="00AD5836"/>
    <w:rsid w:val="00AD7DA1"/>
    <w:rsid w:val="00AE3732"/>
    <w:rsid w:val="00AE6614"/>
    <w:rsid w:val="00AF0616"/>
    <w:rsid w:val="00AF67C2"/>
    <w:rsid w:val="00B14CD7"/>
    <w:rsid w:val="00B164E6"/>
    <w:rsid w:val="00B21709"/>
    <w:rsid w:val="00B23B18"/>
    <w:rsid w:val="00B24A69"/>
    <w:rsid w:val="00B24BA7"/>
    <w:rsid w:val="00B26269"/>
    <w:rsid w:val="00B35EAB"/>
    <w:rsid w:val="00B40D35"/>
    <w:rsid w:val="00B42E1F"/>
    <w:rsid w:val="00B43E37"/>
    <w:rsid w:val="00B45F66"/>
    <w:rsid w:val="00B45FBB"/>
    <w:rsid w:val="00B47C10"/>
    <w:rsid w:val="00B51CB0"/>
    <w:rsid w:val="00B528F4"/>
    <w:rsid w:val="00B53BF7"/>
    <w:rsid w:val="00B6398A"/>
    <w:rsid w:val="00B63FEA"/>
    <w:rsid w:val="00B75BF5"/>
    <w:rsid w:val="00B7644D"/>
    <w:rsid w:val="00B77ED9"/>
    <w:rsid w:val="00B80BA7"/>
    <w:rsid w:val="00B948C3"/>
    <w:rsid w:val="00B9674F"/>
    <w:rsid w:val="00B97482"/>
    <w:rsid w:val="00BA5AA7"/>
    <w:rsid w:val="00BA6AAA"/>
    <w:rsid w:val="00BB2283"/>
    <w:rsid w:val="00BC3FA3"/>
    <w:rsid w:val="00BC40FB"/>
    <w:rsid w:val="00BD012C"/>
    <w:rsid w:val="00BD2888"/>
    <w:rsid w:val="00BD7037"/>
    <w:rsid w:val="00BD7109"/>
    <w:rsid w:val="00BE1184"/>
    <w:rsid w:val="00BE7415"/>
    <w:rsid w:val="00BF4BB7"/>
    <w:rsid w:val="00C04F70"/>
    <w:rsid w:val="00C10F68"/>
    <w:rsid w:val="00C14190"/>
    <w:rsid w:val="00C16500"/>
    <w:rsid w:val="00C1685B"/>
    <w:rsid w:val="00C278E0"/>
    <w:rsid w:val="00C34260"/>
    <w:rsid w:val="00C351A5"/>
    <w:rsid w:val="00C36BB6"/>
    <w:rsid w:val="00C44D7C"/>
    <w:rsid w:val="00C52C72"/>
    <w:rsid w:val="00C54F5A"/>
    <w:rsid w:val="00C57648"/>
    <w:rsid w:val="00C618A7"/>
    <w:rsid w:val="00C650EB"/>
    <w:rsid w:val="00C65BE3"/>
    <w:rsid w:val="00C66567"/>
    <w:rsid w:val="00C70981"/>
    <w:rsid w:val="00C72C43"/>
    <w:rsid w:val="00C72CE7"/>
    <w:rsid w:val="00C7463C"/>
    <w:rsid w:val="00C807B3"/>
    <w:rsid w:val="00C80C74"/>
    <w:rsid w:val="00C842F4"/>
    <w:rsid w:val="00C85693"/>
    <w:rsid w:val="00C86601"/>
    <w:rsid w:val="00C87835"/>
    <w:rsid w:val="00C9207E"/>
    <w:rsid w:val="00C92595"/>
    <w:rsid w:val="00C97043"/>
    <w:rsid w:val="00CA29A0"/>
    <w:rsid w:val="00CA2B92"/>
    <w:rsid w:val="00CA37DF"/>
    <w:rsid w:val="00CA647A"/>
    <w:rsid w:val="00CA7695"/>
    <w:rsid w:val="00CB08EF"/>
    <w:rsid w:val="00CB2144"/>
    <w:rsid w:val="00CC17C7"/>
    <w:rsid w:val="00CC2F62"/>
    <w:rsid w:val="00CD54A0"/>
    <w:rsid w:val="00CE7200"/>
    <w:rsid w:val="00CE732D"/>
    <w:rsid w:val="00CE7993"/>
    <w:rsid w:val="00CF3008"/>
    <w:rsid w:val="00CF441E"/>
    <w:rsid w:val="00CF585B"/>
    <w:rsid w:val="00D061B0"/>
    <w:rsid w:val="00D10B0C"/>
    <w:rsid w:val="00D11C78"/>
    <w:rsid w:val="00D1495D"/>
    <w:rsid w:val="00D14E63"/>
    <w:rsid w:val="00D168DC"/>
    <w:rsid w:val="00D20377"/>
    <w:rsid w:val="00D22414"/>
    <w:rsid w:val="00D248F3"/>
    <w:rsid w:val="00D24BC1"/>
    <w:rsid w:val="00D24C1D"/>
    <w:rsid w:val="00D2569C"/>
    <w:rsid w:val="00D26FF6"/>
    <w:rsid w:val="00D30B1D"/>
    <w:rsid w:val="00D34E21"/>
    <w:rsid w:val="00D362A2"/>
    <w:rsid w:val="00D36F52"/>
    <w:rsid w:val="00D37D1D"/>
    <w:rsid w:val="00D40852"/>
    <w:rsid w:val="00D50CF1"/>
    <w:rsid w:val="00D51B22"/>
    <w:rsid w:val="00D53B7A"/>
    <w:rsid w:val="00D56253"/>
    <w:rsid w:val="00D614EC"/>
    <w:rsid w:val="00D66149"/>
    <w:rsid w:val="00D703CE"/>
    <w:rsid w:val="00D7174C"/>
    <w:rsid w:val="00D755BD"/>
    <w:rsid w:val="00D75FF5"/>
    <w:rsid w:val="00D82B61"/>
    <w:rsid w:val="00D84648"/>
    <w:rsid w:val="00D873C5"/>
    <w:rsid w:val="00D9245E"/>
    <w:rsid w:val="00D92D69"/>
    <w:rsid w:val="00D94F5F"/>
    <w:rsid w:val="00DA1B4B"/>
    <w:rsid w:val="00DA3180"/>
    <w:rsid w:val="00DA3F46"/>
    <w:rsid w:val="00DB39EF"/>
    <w:rsid w:val="00DC079D"/>
    <w:rsid w:val="00DD0F02"/>
    <w:rsid w:val="00DD3A95"/>
    <w:rsid w:val="00DD4F1C"/>
    <w:rsid w:val="00DD7C7E"/>
    <w:rsid w:val="00DE3CDC"/>
    <w:rsid w:val="00DE5B33"/>
    <w:rsid w:val="00DF34E3"/>
    <w:rsid w:val="00DF7EAF"/>
    <w:rsid w:val="00E021CE"/>
    <w:rsid w:val="00E03E73"/>
    <w:rsid w:val="00E123D9"/>
    <w:rsid w:val="00E1555C"/>
    <w:rsid w:val="00E22C94"/>
    <w:rsid w:val="00E278F7"/>
    <w:rsid w:val="00E3152F"/>
    <w:rsid w:val="00E32FD5"/>
    <w:rsid w:val="00E33E54"/>
    <w:rsid w:val="00E403D9"/>
    <w:rsid w:val="00E44522"/>
    <w:rsid w:val="00E45BE3"/>
    <w:rsid w:val="00E466DE"/>
    <w:rsid w:val="00E474C4"/>
    <w:rsid w:val="00E51C85"/>
    <w:rsid w:val="00E5355F"/>
    <w:rsid w:val="00E55CF6"/>
    <w:rsid w:val="00E60386"/>
    <w:rsid w:val="00E60A4D"/>
    <w:rsid w:val="00E62F36"/>
    <w:rsid w:val="00E74F40"/>
    <w:rsid w:val="00E75466"/>
    <w:rsid w:val="00E8471F"/>
    <w:rsid w:val="00E93251"/>
    <w:rsid w:val="00E95140"/>
    <w:rsid w:val="00E97221"/>
    <w:rsid w:val="00EA08B3"/>
    <w:rsid w:val="00EA2BE1"/>
    <w:rsid w:val="00EA3FD6"/>
    <w:rsid w:val="00EA418F"/>
    <w:rsid w:val="00EA53C7"/>
    <w:rsid w:val="00EB1C24"/>
    <w:rsid w:val="00EC11F2"/>
    <w:rsid w:val="00EC12EB"/>
    <w:rsid w:val="00ED1325"/>
    <w:rsid w:val="00ED6A93"/>
    <w:rsid w:val="00ED7E47"/>
    <w:rsid w:val="00EE033A"/>
    <w:rsid w:val="00EE23DF"/>
    <w:rsid w:val="00EE2DDA"/>
    <w:rsid w:val="00EE2F75"/>
    <w:rsid w:val="00EE325C"/>
    <w:rsid w:val="00EF0349"/>
    <w:rsid w:val="00EF28C3"/>
    <w:rsid w:val="00F07B5F"/>
    <w:rsid w:val="00F14218"/>
    <w:rsid w:val="00F20CFA"/>
    <w:rsid w:val="00F235D6"/>
    <w:rsid w:val="00F23BE2"/>
    <w:rsid w:val="00F3460F"/>
    <w:rsid w:val="00F42F5F"/>
    <w:rsid w:val="00F50536"/>
    <w:rsid w:val="00F505CE"/>
    <w:rsid w:val="00F5233A"/>
    <w:rsid w:val="00F5238D"/>
    <w:rsid w:val="00F52E2C"/>
    <w:rsid w:val="00F600D6"/>
    <w:rsid w:val="00F61555"/>
    <w:rsid w:val="00F64881"/>
    <w:rsid w:val="00F70F87"/>
    <w:rsid w:val="00F71502"/>
    <w:rsid w:val="00F73E95"/>
    <w:rsid w:val="00F8436E"/>
    <w:rsid w:val="00F86700"/>
    <w:rsid w:val="00F9167A"/>
    <w:rsid w:val="00F92986"/>
    <w:rsid w:val="00F937B3"/>
    <w:rsid w:val="00FA129D"/>
    <w:rsid w:val="00FA17F3"/>
    <w:rsid w:val="00FA1FFD"/>
    <w:rsid w:val="00FA4337"/>
    <w:rsid w:val="00FA5062"/>
    <w:rsid w:val="00FB70D3"/>
    <w:rsid w:val="00FC094F"/>
    <w:rsid w:val="00FC0C2B"/>
    <w:rsid w:val="00FD0494"/>
    <w:rsid w:val="00FD0EF3"/>
    <w:rsid w:val="00FE334B"/>
    <w:rsid w:val="00FF3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02972-23F4-4ACF-9159-3C7C8D36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3121"/>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9192">
      <w:bodyDiv w:val="1"/>
      <w:marLeft w:val="0"/>
      <w:marRight w:val="0"/>
      <w:marTop w:val="0"/>
      <w:marBottom w:val="0"/>
      <w:divBdr>
        <w:top w:val="none" w:sz="0" w:space="0" w:color="auto"/>
        <w:left w:val="none" w:sz="0" w:space="0" w:color="auto"/>
        <w:bottom w:val="none" w:sz="0" w:space="0" w:color="auto"/>
        <w:right w:val="none" w:sz="0" w:space="0" w:color="auto"/>
      </w:divBdr>
    </w:div>
    <w:div w:id="238946384">
      <w:bodyDiv w:val="1"/>
      <w:marLeft w:val="0"/>
      <w:marRight w:val="0"/>
      <w:marTop w:val="0"/>
      <w:marBottom w:val="0"/>
      <w:divBdr>
        <w:top w:val="none" w:sz="0" w:space="0" w:color="auto"/>
        <w:left w:val="none" w:sz="0" w:space="0" w:color="auto"/>
        <w:bottom w:val="none" w:sz="0" w:space="0" w:color="auto"/>
        <w:right w:val="none" w:sz="0" w:space="0" w:color="auto"/>
      </w:divBdr>
    </w:div>
    <w:div w:id="294069958">
      <w:bodyDiv w:val="1"/>
      <w:marLeft w:val="0"/>
      <w:marRight w:val="0"/>
      <w:marTop w:val="0"/>
      <w:marBottom w:val="0"/>
      <w:divBdr>
        <w:top w:val="none" w:sz="0" w:space="0" w:color="auto"/>
        <w:left w:val="none" w:sz="0" w:space="0" w:color="auto"/>
        <w:bottom w:val="none" w:sz="0" w:space="0" w:color="auto"/>
        <w:right w:val="none" w:sz="0" w:space="0" w:color="auto"/>
      </w:divBdr>
    </w:div>
    <w:div w:id="325518261">
      <w:bodyDiv w:val="1"/>
      <w:marLeft w:val="0"/>
      <w:marRight w:val="0"/>
      <w:marTop w:val="0"/>
      <w:marBottom w:val="0"/>
      <w:divBdr>
        <w:top w:val="none" w:sz="0" w:space="0" w:color="auto"/>
        <w:left w:val="none" w:sz="0" w:space="0" w:color="auto"/>
        <w:bottom w:val="none" w:sz="0" w:space="0" w:color="auto"/>
        <w:right w:val="none" w:sz="0" w:space="0" w:color="auto"/>
      </w:divBdr>
    </w:div>
    <w:div w:id="344485063">
      <w:bodyDiv w:val="1"/>
      <w:marLeft w:val="0"/>
      <w:marRight w:val="0"/>
      <w:marTop w:val="0"/>
      <w:marBottom w:val="0"/>
      <w:divBdr>
        <w:top w:val="none" w:sz="0" w:space="0" w:color="auto"/>
        <w:left w:val="none" w:sz="0" w:space="0" w:color="auto"/>
        <w:bottom w:val="none" w:sz="0" w:space="0" w:color="auto"/>
        <w:right w:val="none" w:sz="0" w:space="0" w:color="auto"/>
      </w:divBdr>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640235035">
      <w:bodyDiv w:val="1"/>
      <w:marLeft w:val="0"/>
      <w:marRight w:val="0"/>
      <w:marTop w:val="0"/>
      <w:marBottom w:val="0"/>
      <w:divBdr>
        <w:top w:val="none" w:sz="0" w:space="0" w:color="auto"/>
        <w:left w:val="none" w:sz="0" w:space="0" w:color="auto"/>
        <w:bottom w:val="none" w:sz="0" w:space="0" w:color="auto"/>
        <w:right w:val="none" w:sz="0" w:space="0" w:color="auto"/>
      </w:divBdr>
    </w:div>
    <w:div w:id="683482008">
      <w:bodyDiv w:val="1"/>
      <w:marLeft w:val="0"/>
      <w:marRight w:val="0"/>
      <w:marTop w:val="0"/>
      <w:marBottom w:val="0"/>
      <w:divBdr>
        <w:top w:val="none" w:sz="0" w:space="0" w:color="auto"/>
        <w:left w:val="none" w:sz="0" w:space="0" w:color="auto"/>
        <w:bottom w:val="none" w:sz="0" w:space="0" w:color="auto"/>
        <w:right w:val="none" w:sz="0" w:space="0" w:color="auto"/>
      </w:divBdr>
    </w:div>
    <w:div w:id="710345085">
      <w:bodyDiv w:val="1"/>
      <w:marLeft w:val="0"/>
      <w:marRight w:val="0"/>
      <w:marTop w:val="0"/>
      <w:marBottom w:val="0"/>
      <w:divBdr>
        <w:top w:val="none" w:sz="0" w:space="0" w:color="auto"/>
        <w:left w:val="none" w:sz="0" w:space="0" w:color="auto"/>
        <w:bottom w:val="none" w:sz="0" w:space="0" w:color="auto"/>
        <w:right w:val="none" w:sz="0" w:space="0" w:color="auto"/>
      </w:divBdr>
    </w:div>
    <w:div w:id="711000736">
      <w:bodyDiv w:val="1"/>
      <w:marLeft w:val="0"/>
      <w:marRight w:val="0"/>
      <w:marTop w:val="0"/>
      <w:marBottom w:val="0"/>
      <w:divBdr>
        <w:top w:val="none" w:sz="0" w:space="0" w:color="auto"/>
        <w:left w:val="none" w:sz="0" w:space="0" w:color="auto"/>
        <w:bottom w:val="none" w:sz="0" w:space="0" w:color="auto"/>
        <w:right w:val="none" w:sz="0" w:space="0" w:color="auto"/>
      </w:divBdr>
    </w:div>
    <w:div w:id="743383100">
      <w:bodyDiv w:val="1"/>
      <w:marLeft w:val="0"/>
      <w:marRight w:val="0"/>
      <w:marTop w:val="0"/>
      <w:marBottom w:val="0"/>
      <w:divBdr>
        <w:top w:val="none" w:sz="0" w:space="0" w:color="auto"/>
        <w:left w:val="none" w:sz="0" w:space="0" w:color="auto"/>
        <w:bottom w:val="none" w:sz="0" w:space="0" w:color="auto"/>
        <w:right w:val="none" w:sz="0" w:space="0" w:color="auto"/>
      </w:divBdr>
    </w:div>
    <w:div w:id="781001764">
      <w:bodyDiv w:val="1"/>
      <w:marLeft w:val="0"/>
      <w:marRight w:val="0"/>
      <w:marTop w:val="0"/>
      <w:marBottom w:val="0"/>
      <w:divBdr>
        <w:top w:val="none" w:sz="0" w:space="0" w:color="auto"/>
        <w:left w:val="none" w:sz="0" w:space="0" w:color="auto"/>
        <w:bottom w:val="none" w:sz="0" w:space="0" w:color="auto"/>
        <w:right w:val="none" w:sz="0" w:space="0" w:color="auto"/>
      </w:divBdr>
    </w:div>
    <w:div w:id="831141093">
      <w:bodyDiv w:val="1"/>
      <w:marLeft w:val="0"/>
      <w:marRight w:val="0"/>
      <w:marTop w:val="0"/>
      <w:marBottom w:val="0"/>
      <w:divBdr>
        <w:top w:val="none" w:sz="0" w:space="0" w:color="auto"/>
        <w:left w:val="none" w:sz="0" w:space="0" w:color="auto"/>
        <w:bottom w:val="none" w:sz="0" w:space="0" w:color="auto"/>
        <w:right w:val="none" w:sz="0" w:space="0" w:color="auto"/>
      </w:divBdr>
    </w:div>
    <w:div w:id="873932249">
      <w:bodyDiv w:val="1"/>
      <w:marLeft w:val="0"/>
      <w:marRight w:val="0"/>
      <w:marTop w:val="0"/>
      <w:marBottom w:val="0"/>
      <w:divBdr>
        <w:top w:val="none" w:sz="0" w:space="0" w:color="auto"/>
        <w:left w:val="none" w:sz="0" w:space="0" w:color="auto"/>
        <w:bottom w:val="none" w:sz="0" w:space="0" w:color="auto"/>
        <w:right w:val="none" w:sz="0" w:space="0" w:color="auto"/>
      </w:divBdr>
    </w:div>
    <w:div w:id="914896734">
      <w:bodyDiv w:val="1"/>
      <w:marLeft w:val="0"/>
      <w:marRight w:val="0"/>
      <w:marTop w:val="0"/>
      <w:marBottom w:val="0"/>
      <w:divBdr>
        <w:top w:val="none" w:sz="0" w:space="0" w:color="auto"/>
        <w:left w:val="none" w:sz="0" w:space="0" w:color="auto"/>
        <w:bottom w:val="none" w:sz="0" w:space="0" w:color="auto"/>
        <w:right w:val="none" w:sz="0" w:space="0" w:color="auto"/>
      </w:divBdr>
    </w:div>
    <w:div w:id="966204164">
      <w:bodyDiv w:val="1"/>
      <w:marLeft w:val="0"/>
      <w:marRight w:val="0"/>
      <w:marTop w:val="0"/>
      <w:marBottom w:val="0"/>
      <w:divBdr>
        <w:top w:val="none" w:sz="0" w:space="0" w:color="auto"/>
        <w:left w:val="none" w:sz="0" w:space="0" w:color="auto"/>
        <w:bottom w:val="none" w:sz="0" w:space="0" w:color="auto"/>
        <w:right w:val="none" w:sz="0" w:space="0" w:color="auto"/>
      </w:divBdr>
    </w:div>
    <w:div w:id="966667107">
      <w:bodyDiv w:val="1"/>
      <w:marLeft w:val="0"/>
      <w:marRight w:val="0"/>
      <w:marTop w:val="0"/>
      <w:marBottom w:val="0"/>
      <w:divBdr>
        <w:top w:val="none" w:sz="0" w:space="0" w:color="auto"/>
        <w:left w:val="none" w:sz="0" w:space="0" w:color="auto"/>
        <w:bottom w:val="none" w:sz="0" w:space="0" w:color="auto"/>
        <w:right w:val="none" w:sz="0" w:space="0" w:color="auto"/>
      </w:divBdr>
    </w:div>
    <w:div w:id="1008171257">
      <w:bodyDiv w:val="1"/>
      <w:marLeft w:val="0"/>
      <w:marRight w:val="0"/>
      <w:marTop w:val="0"/>
      <w:marBottom w:val="0"/>
      <w:divBdr>
        <w:top w:val="none" w:sz="0" w:space="0" w:color="auto"/>
        <w:left w:val="none" w:sz="0" w:space="0" w:color="auto"/>
        <w:bottom w:val="none" w:sz="0" w:space="0" w:color="auto"/>
        <w:right w:val="none" w:sz="0" w:space="0" w:color="auto"/>
      </w:divBdr>
    </w:div>
    <w:div w:id="1150904722">
      <w:bodyDiv w:val="1"/>
      <w:marLeft w:val="0"/>
      <w:marRight w:val="0"/>
      <w:marTop w:val="0"/>
      <w:marBottom w:val="0"/>
      <w:divBdr>
        <w:top w:val="none" w:sz="0" w:space="0" w:color="auto"/>
        <w:left w:val="none" w:sz="0" w:space="0" w:color="auto"/>
        <w:bottom w:val="none" w:sz="0" w:space="0" w:color="auto"/>
        <w:right w:val="none" w:sz="0" w:space="0" w:color="auto"/>
      </w:divBdr>
    </w:div>
    <w:div w:id="1197698913">
      <w:bodyDiv w:val="1"/>
      <w:marLeft w:val="0"/>
      <w:marRight w:val="0"/>
      <w:marTop w:val="0"/>
      <w:marBottom w:val="0"/>
      <w:divBdr>
        <w:top w:val="none" w:sz="0" w:space="0" w:color="auto"/>
        <w:left w:val="none" w:sz="0" w:space="0" w:color="auto"/>
        <w:bottom w:val="none" w:sz="0" w:space="0" w:color="auto"/>
        <w:right w:val="none" w:sz="0" w:space="0" w:color="auto"/>
      </w:divBdr>
    </w:div>
    <w:div w:id="1319267441">
      <w:bodyDiv w:val="1"/>
      <w:marLeft w:val="0"/>
      <w:marRight w:val="0"/>
      <w:marTop w:val="0"/>
      <w:marBottom w:val="0"/>
      <w:divBdr>
        <w:top w:val="none" w:sz="0" w:space="0" w:color="auto"/>
        <w:left w:val="none" w:sz="0" w:space="0" w:color="auto"/>
        <w:bottom w:val="none" w:sz="0" w:space="0" w:color="auto"/>
        <w:right w:val="none" w:sz="0" w:space="0" w:color="auto"/>
      </w:divBdr>
    </w:div>
    <w:div w:id="1379554290">
      <w:bodyDiv w:val="1"/>
      <w:marLeft w:val="0"/>
      <w:marRight w:val="0"/>
      <w:marTop w:val="0"/>
      <w:marBottom w:val="0"/>
      <w:divBdr>
        <w:top w:val="none" w:sz="0" w:space="0" w:color="auto"/>
        <w:left w:val="none" w:sz="0" w:space="0" w:color="auto"/>
        <w:bottom w:val="none" w:sz="0" w:space="0" w:color="auto"/>
        <w:right w:val="none" w:sz="0" w:space="0" w:color="auto"/>
      </w:divBdr>
    </w:div>
    <w:div w:id="1439256609">
      <w:bodyDiv w:val="1"/>
      <w:marLeft w:val="0"/>
      <w:marRight w:val="0"/>
      <w:marTop w:val="0"/>
      <w:marBottom w:val="0"/>
      <w:divBdr>
        <w:top w:val="none" w:sz="0" w:space="0" w:color="auto"/>
        <w:left w:val="none" w:sz="0" w:space="0" w:color="auto"/>
        <w:bottom w:val="none" w:sz="0" w:space="0" w:color="auto"/>
        <w:right w:val="none" w:sz="0" w:space="0" w:color="auto"/>
      </w:divBdr>
    </w:div>
    <w:div w:id="1465272715">
      <w:bodyDiv w:val="1"/>
      <w:marLeft w:val="0"/>
      <w:marRight w:val="0"/>
      <w:marTop w:val="0"/>
      <w:marBottom w:val="0"/>
      <w:divBdr>
        <w:top w:val="none" w:sz="0" w:space="0" w:color="auto"/>
        <w:left w:val="none" w:sz="0" w:space="0" w:color="auto"/>
        <w:bottom w:val="none" w:sz="0" w:space="0" w:color="auto"/>
        <w:right w:val="none" w:sz="0" w:space="0" w:color="auto"/>
      </w:divBdr>
    </w:div>
    <w:div w:id="1657681110">
      <w:bodyDiv w:val="1"/>
      <w:marLeft w:val="0"/>
      <w:marRight w:val="0"/>
      <w:marTop w:val="0"/>
      <w:marBottom w:val="0"/>
      <w:divBdr>
        <w:top w:val="none" w:sz="0" w:space="0" w:color="auto"/>
        <w:left w:val="none" w:sz="0" w:space="0" w:color="auto"/>
        <w:bottom w:val="none" w:sz="0" w:space="0" w:color="auto"/>
        <w:right w:val="none" w:sz="0" w:space="0" w:color="auto"/>
      </w:divBdr>
    </w:div>
    <w:div w:id="1707171933">
      <w:bodyDiv w:val="1"/>
      <w:marLeft w:val="0"/>
      <w:marRight w:val="0"/>
      <w:marTop w:val="0"/>
      <w:marBottom w:val="0"/>
      <w:divBdr>
        <w:top w:val="none" w:sz="0" w:space="0" w:color="auto"/>
        <w:left w:val="none" w:sz="0" w:space="0" w:color="auto"/>
        <w:bottom w:val="none" w:sz="0" w:space="0" w:color="auto"/>
        <w:right w:val="none" w:sz="0" w:space="0" w:color="auto"/>
      </w:divBdr>
    </w:div>
    <w:div w:id="1752509530">
      <w:bodyDiv w:val="1"/>
      <w:marLeft w:val="0"/>
      <w:marRight w:val="0"/>
      <w:marTop w:val="0"/>
      <w:marBottom w:val="0"/>
      <w:divBdr>
        <w:top w:val="none" w:sz="0" w:space="0" w:color="auto"/>
        <w:left w:val="none" w:sz="0" w:space="0" w:color="auto"/>
        <w:bottom w:val="none" w:sz="0" w:space="0" w:color="auto"/>
        <w:right w:val="none" w:sz="0" w:space="0" w:color="auto"/>
      </w:divBdr>
    </w:div>
    <w:div w:id="1760710543">
      <w:bodyDiv w:val="1"/>
      <w:marLeft w:val="0"/>
      <w:marRight w:val="0"/>
      <w:marTop w:val="0"/>
      <w:marBottom w:val="0"/>
      <w:divBdr>
        <w:top w:val="none" w:sz="0" w:space="0" w:color="auto"/>
        <w:left w:val="none" w:sz="0" w:space="0" w:color="auto"/>
        <w:bottom w:val="none" w:sz="0" w:space="0" w:color="auto"/>
        <w:right w:val="none" w:sz="0" w:space="0" w:color="auto"/>
      </w:divBdr>
    </w:div>
    <w:div w:id="1762409010">
      <w:bodyDiv w:val="1"/>
      <w:marLeft w:val="0"/>
      <w:marRight w:val="0"/>
      <w:marTop w:val="0"/>
      <w:marBottom w:val="0"/>
      <w:divBdr>
        <w:top w:val="none" w:sz="0" w:space="0" w:color="auto"/>
        <w:left w:val="none" w:sz="0" w:space="0" w:color="auto"/>
        <w:bottom w:val="none" w:sz="0" w:space="0" w:color="auto"/>
        <w:right w:val="none" w:sz="0" w:space="0" w:color="auto"/>
      </w:divBdr>
      <w:divsChild>
        <w:div w:id="2008168001">
          <w:marLeft w:val="0"/>
          <w:marRight w:val="0"/>
          <w:marTop w:val="0"/>
          <w:marBottom w:val="0"/>
          <w:divBdr>
            <w:top w:val="none" w:sz="0" w:space="0" w:color="auto"/>
            <w:left w:val="none" w:sz="0" w:space="0" w:color="auto"/>
            <w:bottom w:val="none" w:sz="0" w:space="0" w:color="auto"/>
            <w:right w:val="none" w:sz="0" w:space="0" w:color="auto"/>
          </w:divBdr>
          <w:divsChild>
            <w:div w:id="1632780599">
              <w:marLeft w:val="0"/>
              <w:marRight w:val="0"/>
              <w:marTop w:val="0"/>
              <w:marBottom w:val="0"/>
              <w:divBdr>
                <w:top w:val="none" w:sz="0" w:space="0" w:color="auto"/>
                <w:left w:val="none" w:sz="0" w:space="0" w:color="auto"/>
                <w:bottom w:val="none" w:sz="0" w:space="0" w:color="auto"/>
                <w:right w:val="none" w:sz="0" w:space="0" w:color="auto"/>
              </w:divBdr>
              <w:divsChild>
                <w:div w:id="403533033">
                  <w:marLeft w:val="0"/>
                  <w:marRight w:val="0"/>
                  <w:marTop w:val="0"/>
                  <w:marBottom w:val="0"/>
                  <w:divBdr>
                    <w:top w:val="none" w:sz="0" w:space="0" w:color="auto"/>
                    <w:left w:val="none" w:sz="0" w:space="0" w:color="auto"/>
                    <w:bottom w:val="none" w:sz="0" w:space="0" w:color="auto"/>
                    <w:right w:val="none" w:sz="0" w:space="0" w:color="auto"/>
                  </w:divBdr>
                  <w:divsChild>
                    <w:div w:id="1017392248">
                      <w:marLeft w:val="0"/>
                      <w:marRight w:val="0"/>
                      <w:marTop w:val="0"/>
                      <w:marBottom w:val="0"/>
                      <w:divBdr>
                        <w:top w:val="none" w:sz="0" w:space="0" w:color="auto"/>
                        <w:left w:val="none" w:sz="0" w:space="0" w:color="auto"/>
                        <w:bottom w:val="none" w:sz="0" w:space="0" w:color="auto"/>
                        <w:right w:val="none" w:sz="0" w:space="0" w:color="auto"/>
                      </w:divBdr>
                      <w:divsChild>
                        <w:div w:id="23095251">
                          <w:marLeft w:val="0"/>
                          <w:marRight w:val="0"/>
                          <w:marTop w:val="0"/>
                          <w:marBottom w:val="0"/>
                          <w:divBdr>
                            <w:top w:val="none" w:sz="0" w:space="0" w:color="auto"/>
                            <w:left w:val="none" w:sz="0" w:space="0" w:color="auto"/>
                            <w:bottom w:val="none" w:sz="0" w:space="0" w:color="auto"/>
                            <w:right w:val="none" w:sz="0" w:space="0" w:color="auto"/>
                          </w:divBdr>
                          <w:divsChild>
                            <w:div w:id="1430127799">
                              <w:marLeft w:val="0"/>
                              <w:marRight w:val="0"/>
                              <w:marTop w:val="0"/>
                              <w:marBottom w:val="0"/>
                              <w:divBdr>
                                <w:top w:val="none" w:sz="0" w:space="0" w:color="auto"/>
                                <w:left w:val="none" w:sz="0" w:space="0" w:color="auto"/>
                                <w:bottom w:val="none" w:sz="0" w:space="0" w:color="auto"/>
                                <w:right w:val="none" w:sz="0" w:space="0" w:color="auto"/>
                              </w:divBdr>
                            </w:div>
                            <w:div w:id="1466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042397">
      <w:bodyDiv w:val="1"/>
      <w:marLeft w:val="0"/>
      <w:marRight w:val="0"/>
      <w:marTop w:val="0"/>
      <w:marBottom w:val="0"/>
      <w:divBdr>
        <w:top w:val="none" w:sz="0" w:space="0" w:color="auto"/>
        <w:left w:val="none" w:sz="0" w:space="0" w:color="auto"/>
        <w:bottom w:val="none" w:sz="0" w:space="0" w:color="auto"/>
        <w:right w:val="none" w:sz="0" w:space="0" w:color="auto"/>
      </w:divBdr>
    </w:div>
    <w:div w:id="1812744461">
      <w:bodyDiv w:val="1"/>
      <w:marLeft w:val="0"/>
      <w:marRight w:val="0"/>
      <w:marTop w:val="0"/>
      <w:marBottom w:val="0"/>
      <w:divBdr>
        <w:top w:val="none" w:sz="0" w:space="0" w:color="auto"/>
        <w:left w:val="none" w:sz="0" w:space="0" w:color="auto"/>
        <w:bottom w:val="none" w:sz="0" w:space="0" w:color="auto"/>
        <w:right w:val="none" w:sz="0" w:space="0" w:color="auto"/>
      </w:divBdr>
    </w:div>
    <w:div w:id="1846090677">
      <w:bodyDiv w:val="1"/>
      <w:marLeft w:val="0"/>
      <w:marRight w:val="0"/>
      <w:marTop w:val="0"/>
      <w:marBottom w:val="0"/>
      <w:divBdr>
        <w:top w:val="none" w:sz="0" w:space="0" w:color="auto"/>
        <w:left w:val="none" w:sz="0" w:space="0" w:color="auto"/>
        <w:bottom w:val="none" w:sz="0" w:space="0" w:color="auto"/>
        <w:right w:val="none" w:sz="0" w:space="0" w:color="auto"/>
      </w:divBdr>
    </w:div>
    <w:div w:id="1886600772">
      <w:bodyDiv w:val="1"/>
      <w:marLeft w:val="0"/>
      <w:marRight w:val="0"/>
      <w:marTop w:val="0"/>
      <w:marBottom w:val="0"/>
      <w:divBdr>
        <w:top w:val="none" w:sz="0" w:space="0" w:color="auto"/>
        <w:left w:val="none" w:sz="0" w:space="0" w:color="auto"/>
        <w:bottom w:val="none" w:sz="0" w:space="0" w:color="auto"/>
        <w:right w:val="none" w:sz="0" w:space="0" w:color="auto"/>
      </w:divBdr>
    </w:div>
    <w:div w:id="1940404059">
      <w:bodyDiv w:val="1"/>
      <w:marLeft w:val="0"/>
      <w:marRight w:val="0"/>
      <w:marTop w:val="0"/>
      <w:marBottom w:val="0"/>
      <w:divBdr>
        <w:top w:val="none" w:sz="0" w:space="0" w:color="auto"/>
        <w:left w:val="none" w:sz="0" w:space="0" w:color="auto"/>
        <w:bottom w:val="none" w:sz="0" w:space="0" w:color="auto"/>
        <w:right w:val="none" w:sz="0" w:space="0" w:color="auto"/>
      </w:divBdr>
    </w:div>
    <w:div w:id="1944075127">
      <w:bodyDiv w:val="1"/>
      <w:marLeft w:val="0"/>
      <w:marRight w:val="0"/>
      <w:marTop w:val="0"/>
      <w:marBottom w:val="0"/>
      <w:divBdr>
        <w:top w:val="none" w:sz="0" w:space="0" w:color="auto"/>
        <w:left w:val="none" w:sz="0" w:space="0" w:color="auto"/>
        <w:bottom w:val="none" w:sz="0" w:space="0" w:color="auto"/>
        <w:right w:val="none" w:sz="0" w:space="0" w:color="auto"/>
      </w:divBdr>
    </w:div>
    <w:div w:id="1974016169">
      <w:bodyDiv w:val="1"/>
      <w:marLeft w:val="0"/>
      <w:marRight w:val="0"/>
      <w:marTop w:val="0"/>
      <w:marBottom w:val="0"/>
      <w:divBdr>
        <w:top w:val="none" w:sz="0" w:space="0" w:color="auto"/>
        <w:left w:val="none" w:sz="0" w:space="0" w:color="auto"/>
        <w:bottom w:val="none" w:sz="0" w:space="0" w:color="auto"/>
        <w:right w:val="none" w:sz="0" w:space="0" w:color="auto"/>
      </w:divBdr>
    </w:div>
    <w:div w:id="1990013084">
      <w:bodyDiv w:val="1"/>
      <w:marLeft w:val="0"/>
      <w:marRight w:val="0"/>
      <w:marTop w:val="0"/>
      <w:marBottom w:val="0"/>
      <w:divBdr>
        <w:top w:val="none" w:sz="0" w:space="0" w:color="auto"/>
        <w:left w:val="none" w:sz="0" w:space="0" w:color="auto"/>
        <w:bottom w:val="none" w:sz="0" w:space="0" w:color="auto"/>
        <w:right w:val="none" w:sz="0" w:space="0" w:color="auto"/>
      </w:divBdr>
    </w:div>
    <w:div w:id="2004238089">
      <w:bodyDiv w:val="1"/>
      <w:marLeft w:val="0"/>
      <w:marRight w:val="0"/>
      <w:marTop w:val="0"/>
      <w:marBottom w:val="0"/>
      <w:divBdr>
        <w:top w:val="none" w:sz="0" w:space="0" w:color="auto"/>
        <w:left w:val="none" w:sz="0" w:space="0" w:color="auto"/>
        <w:bottom w:val="none" w:sz="0" w:space="0" w:color="auto"/>
        <w:right w:val="none" w:sz="0" w:space="0" w:color="auto"/>
      </w:divBdr>
    </w:div>
    <w:div w:id="2055351837">
      <w:bodyDiv w:val="1"/>
      <w:marLeft w:val="0"/>
      <w:marRight w:val="0"/>
      <w:marTop w:val="0"/>
      <w:marBottom w:val="0"/>
      <w:divBdr>
        <w:top w:val="none" w:sz="0" w:space="0" w:color="auto"/>
        <w:left w:val="none" w:sz="0" w:space="0" w:color="auto"/>
        <w:bottom w:val="none" w:sz="0" w:space="0" w:color="auto"/>
        <w:right w:val="none" w:sz="0" w:space="0" w:color="auto"/>
      </w:divBdr>
    </w:div>
    <w:div w:id="21239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obyvatelstvo!$P$2</c:f>
              <c:strCache>
                <c:ptCount val="1"/>
                <c:pt idx="0">
                  <c:v>Zlatá Olešnice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obyvatelstvo!$P$3:$P$12</c:f>
              <c:numCache>
                <c:formatCode>General</c:formatCode>
                <c:ptCount val="10"/>
                <c:pt idx="0">
                  <c:v>100</c:v>
                </c:pt>
                <c:pt idx="1">
                  <c:v>95.970695970695971</c:v>
                </c:pt>
                <c:pt idx="2">
                  <c:v>97.900763358778633</c:v>
                </c:pt>
                <c:pt idx="3">
                  <c:v>98.830409356725141</c:v>
                </c:pt>
                <c:pt idx="4">
                  <c:v>98.422090729783037</c:v>
                </c:pt>
                <c:pt idx="5">
                  <c:v>98.99799599198397</c:v>
                </c:pt>
                <c:pt idx="6">
                  <c:v>101.61943319838056</c:v>
                </c:pt>
                <c:pt idx="7">
                  <c:v>100.99601593625498</c:v>
                </c:pt>
                <c:pt idx="8">
                  <c:v>99.408284023668642</c:v>
                </c:pt>
                <c:pt idx="9">
                  <c:v>98.611111111111114</c:v>
                </c:pt>
              </c:numCache>
            </c:numRef>
          </c:val>
          <c:smooth val="0"/>
        </c:ser>
        <c:ser>
          <c:idx val="1"/>
          <c:order val="1"/>
          <c:tx>
            <c:strRef>
              <c:f>obyvatelstvo!$R$2</c:f>
              <c:strCache>
                <c:ptCount val="1"/>
                <c:pt idx="0">
                  <c:v>SO ORP Tanvald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obyvatelstvo!$R$3:$R$12</c:f>
              <c:numCache>
                <c:formatCode>General</c:formatCode>
                <c:ptCount val="10"/>
                <c:pt idx="0">
                  <c:v>100</c:v>
                </c:pt>
                <c:pt idx="1">
                  <c:v>99.940852632057869</c:v>
                </c:pt>
                <c:pt idx="2">
                  <c:v>99.722298097059095</c:v>
                </c:pt>
                <c:pt idx="3">
                  <c:v>97.945674503538001</c:v>
                </c:pt>
                <c:pt idx="4">
                  <c:v>99.235609415054768</c:v>
                </c:pt>
                <c:pt idx="5">
                  <c:v>99.008970926682636</c:v>
                </c:pt>
                <c:pt idx="6">
                  <c:v>99.160341555977226</c:v>
                </c:pt>
                <c:pt idx="7">
                  <c:v>99.535951777256855</c:v>
                </c:pt>
                <c:pt idx="8">
                  <c:v>99.091608189945219</c:v>
                </c:pt>
                <c:pt idx="9">
                  <c:v>99.471310083911334</c:v>
                </c:pt>
              </c:numCache>
            </c:numRef>
          </c:val>
          <c:smooth val="0"/>
        </c:ser>
        <c:ser>
          <c:idx val="2"/>
          <c:order val="2"/>
          <c:tx>
            <c:strRef>
              <c:f>obyvatelstvo!$S$2</c:f>
              <c:strCache>
                <c:ptCount val="1"/>
                <c:pt idx="0">
                  <c:v>Zlatá Olešnice (srovnání k roku 2008)</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obyvatelstvo!$S$3:$S$12</c:f>
              <c:numCache>
                <c:formatCode>General</c:formatCode>
                <c:ptCount val="10"/>
                <c:pt idx="0">
                  <c:v>100</c:v>
                </c:pt>
                <c:pt idx="1">
                  <c:v>95.970695970695971</c:v>
                </c:pt>
                <c:pt idx="2">
                  <c:v>93.956043956043956</c:v>
                </c:pt>
                <c:pt idx="3">
                  <c:v>92.857142857142861</c:v>
                </c:pt>
                <c:pt idx="4">
                  <c:v>91.391941391941387</c:v>
                </c:pt>
                <c:pt idx="5">
                  <c:v>90.476190476190482</c:v>
                </c:pt>
                <c:pt idx="6">
                  <c:v>91.941391941391942</c:v>
                </c:pt>
                <c:pt idx="7">
                  <c:v>92.857142857142861</c:v>
                </c:pt>
                <c:pt idx="8">
                  <c:v>92.307692307692307</c:v>
                </c:pt>
                <c:pt idx="9">
                  <c:v>91.025641025641022</c:v>
                </c:pt>
              </c:numCache>
            </c:numRef>
          </c:val>
          <c:smooth val="0"/>
        </c:ser>
        <c:dLbls>
          <c:showLegendKey val="0"/>
          <c:showVal val="0"/>
          <c:showCatName val="0"/>
          <c:showSerName val="0"/>
          <c:showPercent val="0"/>
          <c:showBubbleSize val="0"/>
        </c:dLbls>
        <c:smooth val="0"/>
        <c:axId val="502990288"/>
        <c:axId val="502991464"/>
      </c:lineChart>
      <c:catAx>
        <c:axId val="502990288"/>
        <c:scaling>
          <c:orientation val="minMax"/>
        </c:scaling>
        <c:delete val="0"/>
        <c:axPos val="b"/>
        <c:numFmt formatCode="General" sourceLinked="1"/>
        <c:majorTickMark val="out"/>
        <c:minorTickMark val="none"/>
        <c:tickLblPos val="nextTo"/>
        <c:spPr>
          <a:noFill/>
          <a:ln w="9525" cap="flat" cmpd="sng" algn="ctr">
            <a:solidFill>
              <a:schemeClr val="tx2"/>
            </a:solidFill>
            <a:prstDash val="solid"/>
          </a:ln>
          <a:effectLst/>
        </c:spPr>
        <c:crossAx val="502991464"/>
        <c:crosses val="autoZero"/>
        <c:auto val="1"/>
        <c:lblAlgn val="ctr"/>
        <c:lblOffset val="100"/>
        <c:noMultiLvlLbl val="0"/>
      </c:catAx>
      <c:valAx>
        <c:axId val="502991464"/>
        <c:scaling>
          <c:orientation val="minMax"/>
          <c:max val="102"/>
          <c:min val="90"/>
        </c:scaling>
        <c:delete val="0"/>
        <c:axPos val="l"/>
        <c:majorGridlines>
          <c:spPr>
            <a:ln w="9525" cap="flat" cmpd="sng" algn="ctr">
              <a:solidFill>
                <a:schemeClr val="accent1"/>
              </a:solidFill>
              <a:prstDash val="solid"/>
            </a:ln>
            <a:effectLst/>
          </c:spPr>
        </c:majorGridlines>
        <c:title>
          <c:tx>
            <c:rich>
              <a:bodyPr rot="0" vert="horz"/>
              <a:lstStyle/>
              <a:p>
                <a:pPr>
                  <a:defRPr/>
                </a:pPr>
                <a:r>
                  <a:rPr lang="cs-CZ"/>
                  <a:t>%</a:t>
                </a:r>
              </a:p>
            </c:rich>
          </c:tx>
          <c:overlay val="0"/>
        </c:title>
        <c:numFmt formatCode="General" sourceLinked="1"/>
        <c:majorTickMark val="out"/>
        <c:minorTickMark val="none"/>
        <c:tickLblPos val="nextTo"/>
        <c:spPr>
          <a:noFill/>
          <a:ln w="9525" cap="flat" cmpd="sng" algn="ctr">
            <a:solidFill>
              <a:schemeClr val="tx2"/>
            </a:solidFill>
            <a:prstDash val="solid"/>
          </a:ln>
          <a:effectLst/>
        </c:spPr>
        <c:crossAx val="502990288"/>
        <c:crosses val="autoZero"/>
        <c:crossBetween val="between"/>
        <c:majorUnit val="1"/>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098904757397457E-2"/>
          <c:y val="8.7812668033167965E-2"/>
          <c:w val="0.89956594709070281"/>
          <c:h val="0.76807925707609148"/>
        </c:manualLayout>
      </c:layout>
      <c:lineChart>
        <c:grouping val="standard"/>
        <c:varyColors val="0"/>
        <c:ser>
          <c:idx val="0"/>
          <c:order val="0"/>
          <c:tx>
            <c:strRef>
              <c:f>obyvatelstvo!$I$12</c:f>
              <c:strCache>
                <c:ptCount val="1"/>
                <c:pt idx="0">
                  <c:v>Přírůstek celkový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obyvatelstvo!$I$13:$I$22</c:f>
              <c:numCache>
                <c:formatCode>General</c:formatCode>
                <c:ptCount val="10"/>
                <c:pt idx="0">
                  <c:v>12</c:v>
                </c:pt>
                <c:pt idx="1">
                  <c:v>-22</c:v>
                </c:pt>
                <c:pt idx="2">
                  <c:v>-11</c:v>
                </c:pt>
                <c:pt idx="3">
                  <c:v>-5</c:v>
                </c:pt>
                <c:pt idx="4">
                  <c:v>-8</c:v>
                </c:pt>
                <c:pt idx="5">
                  <c:v>-5</c:v>
                </c:pt>
                <c:pt idx="6">
                  <c:v>8</c:v>
                </c:pt>
                <c:pt idx="7">
                  <c:v>5</c:v>
                </c:pt>
                <c:pt idx="8">
                  <c:v>-3</c:v>
                </c:pt>
                <c:pt idx="9">
                  <c:v>-7</c:v>
                </c:pt>
              </c:numCache>
            </c:numRef>
          </c:val>
          <c:smooth val="0"/>
        </c:ser>
        <c:ser>
          <c:idx val="1"/>
          <c:order val="1"/>
          <c:tx>
            <c:strRef>
              <c:f>obyvatelstvo!$H$12</c:f>
              <c:strCache>
                <c:ptCount val="1"/>
                <c:pt idx="0">
                  <c:v>Přírůstek migrační</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obyvatelstvo!$H$13:$H$22</c:f>
              <c:numCache>
                <c:formatCode>General</c:formatCode>
                <c:ptCount val="10"/>
                <c:pt idx="0">
                  <c:v>14</c:v>
                </c:pt>
                <c:pt idx="1">
                  <c:v>-21</c:v>
                </c:pt>
                <c:pt idx="2">
                  <c:v>-10</c:v>
                </c:pt>
                <c:pt idx="3">
                  <c:v>-4</c:v>
                </c:pt>
                <c:pt idx="4">
                  <c:v>-3</c:v>
                </c:pt>
                <c:pt idx="5">
                  <c:v>-1</c:v>
                </c:pt>
                <c:pt idx="6">
                  <c:v>4</c:v>
                </c:pt>
                <c:pt idx="7">
                  <c:v>7</c:v>
                </c:pt>
                <c:pt idx="8">
                  <c:v>-3</c:v>
                </c:pt>
                <c:pt idx="9">
                  <c:v>-4</c:v>
                </c:pt>
              </c:numCache>
            </c:numRef>
          </c:val>
          <c:smooth val="0"/>
        </c:ser>
        <c:ser>
          <c:idx val="2"/>
          <c:order val="2"/>
          <c:tx>
            <c:strRef>
              <c:f>obyvatelstvo!$G$12</c:f>
              <c:strCache>
                <c:ptCount val="1"/>
                <c:pt idx="0">
                  <c:v>Přírůstek přirozený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obyvatelstvo!$G$13:$G$22</c:f>
              <c:numCache>
                <c:formatCode>General</c:formatCode>
                <c:ptCount val="10"/>
                <c:pt idx="0">
                  <c:v>-2</c:v>
                </c:pt>
                <c:pt idx="1">
                  <c:v>-1</c:v>
                </c:pt>
                <c:pt idx="2">
                  <c:v>-1</c:v>
                </c:pt>
                <c:pt idx="3">
                  <c:v>-1</c:v>
                </c:pt>
                <c:pt idx="4">
                  <c:v>-5</c:v>
                </c:pt>
                <c:pt idx="5">
                  <c:v>-4</c:v>
                </c:pt>
                <c:pt idx="6">
                  <c:v>4</c:v>
                </c:pt>
                <c:pt idx="7">
                  <c:v>-2</c:v>
                </c:pt>
                <c:pt idx="8">
                  <c:v>0</c:v>
                </c:pt>
                <c:pt idx="9">
                  <c:v>-3</c:v>
                </c:pt>
              </c:numCache>
            </c:numRef>
          </c:val>
          <c:smooth val="0"/>
        </c:ser>
        <c:dLbls>
          <c:showLegendKey val="0"/>
          <c:showVal val="0"/>
          <c:showCatName val="0"/>
          <c:showSerName val="0"/>
          <c:showPercent val="0"/>
          <c:showBubbleSize val="0"/>
        </c:dLbls>
        <c:smooth val="0"/>
        <c:axId val="503897968"/>
        <c:axId val="514883088"/>
      </c:lineChart>
      <c:catAx>
        <c:axId val="503897968"/>
        <c:scaling>
          <c:orientation val="minMax"/>
        </c:scaling>
        <c:delete val="0"/>
        <c:axPos val="b"/>
        <c:numFmt formatCode="General" sourceLinked="1"/>
        <c:majorTickMark val="out"/>
        <c:minorTickMark val="none"/>
        <c:tickLblPos val="nextTo"/>
        <c:spPr>
          <a:noFill/>
          <a:ln w="9525" cap="flat" cmpd="sng" algn="ctr">
            <a:solidFill>
              <a:srgbClr val="1F497D"/>
            </a:solidFill>
            <a:prstDash val="solid"/>
          </a:ln>
          <a:effectLst/>
        </c:spPr>
        <c:crossAx val="514883088"/>
        <c:crosses val="autoZero"/>
        <c:auto val="1"/>
        <c:lblAlgn val="ctr"/>
        <c:lblOffset val="100"/>
        <c:noMultiLvlLbl val="0"/>
      </c:catAx>
      <c:valAx>
        <c:axId val="514883088"/>
        <c:scaling>
          <c:orientation val="minMax"/>
          <c:max val="15"/>
          <c:min val="-25"/>
        </c:scaling>
        <c:delete val="0"/>
        <c:axPos val="l"/>
        <c:majorGridlines>
          <c:spPr>
            <a:ln w="9525" cap="flat" cmpd="sng" algn="ctr">
              <a:solidFill>
                <a:srgbClr val="1F497D"/>
              </a:solidFill>
              <a:prstDash val="solid"/>
            </a:ln>
            <a:effectLst/>
          </c:spPr>
        </c:majorGridlines>
        <c:title>
          <c:tx>
            <c:rich>
              <a:bodyPr rot="-5400000" vert="horz"/>
              <a:lstStyle/>
              <a:p>
                <a:pPr algn="ctr" rtl="0">
                  <a:defRPr b="0"/>
                </a:pPr>
                <a:r>
                  <a:rPr lang="cs-CZ" b="0"/>
                  <a:t>absolutní hodnoty obyvatel</a:t>
                </a:r>
              </a:p>
              <a:p>
                <a:pPr algn="ctr" rtl="0">
                  <a:defRPr b="0"/>
                </a:pPr>
                <a:endParaRPr lang="cs-CZ" b="0"/>
              </a:p>
            </c:rich>
          </c:tx>
          <c:layout>
            <c:manualLayout>
              <c:xMode val="edge"/>
              <c:yMode val="edge"/>
              <c:x val="9.5594639662054844E-3"/>
              <c:y val="0.32827591447376114"/>
            </c:manualLayout>
          </c:layout>
          <c:overlay val="0"/>
        </c:title>
        <c:numFmt formatCode="General" sourceLinked="1"/>
        <c:majorTickMark val="out"/>
        <c:minorTickMark val="none"/>
        <c:tickLblPos val="nextTo"/>
        <c:spPr>
          <a:noFill/>
          <a:ln w="9525" cap="flat" cmpd="sng" algn="ctr">
            <a:solidFill>
              <a:srgbClr val="1F497D"/>
            </a:solidFill>
            <a:prstDash val="solid"/>
          </a:ln>
          <a:effectLst/>
        </c:spPr>
        <c:crossAx val="503897968"/>
        <c:crosses val="autoZero"/>
        <c:crossBetween val="between"/>
        <c:majorUnit val="5"/>
      </c:valAx>
      <c:spPr>
        <a:ln>
          <a:noFill/>
        </a:ln>
      </c:spPr>
    </c:plotArea>
    <c:legend>
      <c:legendPos val="b"/>
      <c:overlay val="0"/>
    </c:legend>
    <c:plotVisOnly val="1"/>
    <c:dispBlanksAs val="gap"/>
    <c:showDLblsOverMax val="0"/>
  </c:chart>
  <c:spPr>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areaChart>
        <c:grouping val="percentStacked"/>
        <c:varyColors val="0"/>
        <c:ser>
          <c:idx val="0"/>
          <c:order val="0"/>
          <c:tx>
            <c:strRef>
              <c:f>obyvatelstvo!$P$50</c:f>
              <c:strCache>
                <c:ptCount val="1"/>
                <c:pt idx="0">
                  <c:v>0 - 14 let</c:v>
                </c:pt>
              </c:strCache>
            </c:strRef>
          </c:tx>
          <c:cat>
            <c:numRef>
              <c:f>obyvatelstvo!$M$49:$O$49</c:f>
              <c:numCache>
                <c:formatCode>General</c:formatCode>
                <c:ptCount val="3"/>
                <c:pt idx="0">
                  <c:v>2001</c:v>
                </c:pt>
                <c:pt idx="1">
                  <c:v>2011</c:v>
                </c:pt>
                <c:pt idx="2">
                  <c:v>2017</c:v>
                </c:pt>
              </c:numCache>
            </c:numRef>
          </c:cat>
          <c:val>
            <c:numRef>
              <c:f>obyvatelstvo!$M$50:$O$50</c:f>
              <c:numCache>
                <c:formatCode>0.0</c:formatCode>
                <c:ptCount val="3"/>
                <c:pt idx="0">
                  <c:v>18.216318785578746</c:v>
                </c:pt>
                <c:pt idx="1">
                  <c:v>13.412228796844181</c:v>
                </c:pt>
                <c:pt idx="2">
                  <c:v>12.877263581488934</c:v>
                </c:pt>
              </c:numCache>
            </c:numRef>
          </c:val>
        </c:ser>
        <c:ser>
          <c:idx val="1"/>
          <c:order val="1"/>
          <c:tx>
            <c:strRef>
              <c:f>obyvatelstvo!$P$51</c:f>
              <c:strCache>
                <c:ptCount val="1"/>
                <c:pt idx="0">
                  <c:v>15 - 64 let</c:v>
                </c:pt>
              </c:strCache>
            </c:strRef>
          </c:tx>
          <c:spPr>
            <a:ln w="25400">
              <a:noFill/>
            </a:ln>
          </c:spPr>
          <c:cat>
            <c:numRef>
              <c:f>obyvatelstvo!$M$49:$O$49</c:f>
              <c:numCache>
                <c:formatCode>General</c:formatCode>
                <c:ptCount val="3"/>
                <c:pt idx="0">
                  <c:v>2001</c:v>
                </c:pt>
                <c:pt idx="1">
                  <c:v>2011</c:v>
                </c:pt>
                <c:pt idx="2">
                  <c:v>2017</c:v>
                </c:pt>
              </c:numCache>
            </c:numRef>
          </c:cat>
          <c:val>
            <c:numRef>
              <c:f>obyvatelstvo!$M$51:$O$51</c:f>
              <c:numCache>
                <c:formatCode>0.0</c:formatCode>
                <c:ptCount val="3"/>
                <c:pt idx="0">
                  <c:v>68.500948766603415</c:v>
                </c:pt>
                <c:pt idx="1">
                  <c:v>70.019723865877708</c:v>
                </c:pt>
                <c:pt idx="2">
                  <c:v>66.800804828973853</c:v>
                </c:pt>
              </c:numCache>
            </c:numRef>
          </c:val>
        </c:ser>
        <c:ser>
          <c:idx val="2"/>
          <c:order val="2"/>
          <c:tx>
            <c:strRef>
              <c:f>obyvatelstvo!$P$52</c:f>
              <c:strCache>
                <c:ptCount val="1"/>
                <c:pt idx="0">
                  <c:v>65 a více let</c:v>
                </c:pt>
              </c:strCache>
            </c:strRef>
          </c:tx>
          <c:spPr>
            <a:ln w="25400">
              <a:noFill/>
            </a:ln>
          </c:spPr>
          <c:cat>
            <c:numRef>
              <c:f>obyvatelstvo!$M$49:$O$49</c:f>
              <c:numCache>
                <c:formatCode>General</c:formatCode>
                <c:ptCount val="3"/>
                <c:pt idx="0">
                  <c:v>2001</c:v>
                </c:pt>
                <c:pt idx="1">
                  <c:v>2011</c:v>
                </c:pt>
                <c:pt idx="2">
                  <c:v>2017</c:v>
                </c:pt>
              </c:numCache>
            </c:numRef>
          </c:cat>
          <c:val>
            <c:numRef>
              <c:f>obyvatelstvo!$M$52:$O$52</c:f>
              <c:numCache>
                <c:formatCode>0.0</c:formatCode>
                <c:ptCount val="3"/>
                <c:pt idx="0">
                  <c:v>13.282732447817835</c:v>
                </c:pt>
                <c:pt idx="1">
                  <c:v>16.568047337278109</c:v>
                </c:pt>
                <c:pt idx="2">
                  <c:v>20.321931589537222</c:v>
                </c:pt>
              </c:numCache>
            </c:numRef>
          </c:val>
        </c:ser>
        <c:dLbls>
          <c:showLegendKey val="0"/>
          <c:showVal val="0"/>
          <c:showCatName val="0"/>
          <c:showSerName val="0"/>
          <c:showPercent val="0"/>
          <c:showBubbleSize val="0"/>
        </c:dLbls>
        <c:axId val="284519456"/>
        <c:axId val="284516712"/>
      </c:areaChart>
      <c:catAx>
        <c:axId val="284519456"/>
        <c:scaling>
          <c:orientation val="minMax"/>
        </c:scaling>
        <c:delete val="0"/>
        <c:axPos val="b"/>
        <c:numFmt formatCode="General" sourceLinked="1"/>
        <c:majorTickMark val="out"/>
        <c:minorTickMark val="none"/>
        <c:tickLblPos val="nextTo"/>
        <c:spPr>
          <a:ln>
            <a:solidFill>
              <a:schemeClr val="tx2"/>
            </a:solidFill>
          </a:ln>
        </c:spPr>
        <c:crossAx val="284516712"/>
        <c:crosses val="autoZero"/>
        <c:auto val="1"/>
        <c:lblAlgn val="ctr"/>
        <c:lblOffset val="100"/>
        <c:noMultiLvlLbl val="0"/>
      </c:catAx>
      <c:valAx>
        <c:axId val="284516712"/>
        <c:scaling>
          <c:orientation val="minMax"/>
        </c:scaling>
        <c:delete val="0"/>
        <c:axPos val="l"/>
        <c:majorGridlines/>
        <c:numFmt formatCode="0%" sourceLinked="1"/>
        <c:majorTickMark val="out"/>
        <c:minorTickMark val="none"/>
        <c:tickLblPos val="nextTo"/>
        <c:spPr>
          <a:ln>
            <a:solidFill>
              <a:schemeClr val="tx2"/>
            </a:solidFill>
          </a:ln>
        </c:spPr>
        <c:crossAx val="284519456"/>
        <c:crosses val="autoZero"/>
        <c:crossBetween val="midCat"/>
      </c:valAx>
    </c:plotArea>
    <c:legend>
      <c:legendPos val="b"/>
      <c:overlay val="0"/>
    </c:legend>
    <c:plotVisOnly val="1"/>
    <c:dispBlanksAs val="zero"/>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obyvatelstvo!$J$65</c:f>
              <c:strCache>
                <c:ptCount val="1"/>
                <c:pt idx="0">
                  <c:v>podíl ženy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obyvatelstvo!$I$66:$I$83</c:f>
              <c:numCache>
                <c:formatCode>#,##0_ ;\-#,##0\ </c:formatCode>
                <c:ptCount val="18"/>
                <c:pt idx="0">
                  <c:v>10</c:v>
                </c:pt>
                <c:pt idx="1">
                  <c:v>14</c:v>
                </c:pt>
                <c:pt idx="2">
                  <c:v>7</c:v>
                </c:pt>
                <c:pt idx="3">
                  <c:v>13</c:v>
                </c:pt>
                <c:pt idx="4">
                  <c:v>13</c:v>
                </c:pt>
                <c:pt idx="5">
                  <c:v>15</c:v>
                </c:pt>
                <c:pt idx="6">
                  <c:v>24</c:v>
                </c:pt>
                <c:pt idx="7">
                  <c:v>11</c:v>
                </c:pt>
                <c:pt idx="8">
                  <c:v>16</c:v>
                </c:pt>
                <c:pt idx="9">
                  <c:v>20</c:v>
                </c:pt>
                <c:pt idx="10">
                  <c:v>17</c:v>
                </c:pt>
                <c:pt idx="11">
                  <c:v>16</c:v>
                </c:pt>
                <c:pt idx="12">
                  <c:v>18</c:v>
                </c:pt>
                <c:pt idx="13">
                  <c:v>19</c:v>
                </c:pt>
                <c:pt idx="14">
                  <c:v>24</c:v>
                </c:pt>
                <c:pt idx="15">
                  <c:v>3</c:v>
                </c:pt>
                <c:pt idx="16">
                  <c:v>5</c:v>
                </c:pt>
                <c:pt idx="17">
                  <c:v>6</c:v>
                </c:pt>
              </c:numCache>
            </c:numRef>
          </c:val>
        </c:ser>
        <c:ser>
          <c:idx val="1"/>
          <c:order val="1"/>
          <c:tx>
            <c:strRef>
              <c:f>obyvatelstvo!$L$65</c:f>
              <c:strCache>
                <c:ptCount val="1"/>
                <c:pt idx="0">
                  <c:v>podíl muži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obyvatelstvo!$K$66:$K$83</c:f>
              <c:numCache>
                <c:formatCode>#,##0_ ;\-#,##0\ </c:formatCode>
                <c:ptCount val="18"/>
                <c:pt idx="0">
                  <c:v>9</c:v>
                </c:pt>
                <c:pt idx="1">
                  <c:v>14</c:v>
                </c:pt>
                <c:pt idx="2">
                  <c:v>10</c:v>
                </c:pt>
                <c:pt idx="3">
                  <c:v>14</c:v>
                </c:pt>
                <c:pt idx="4">
                  <c:v>14</c:v>
                </c:pt>
                <c:pt idx="5">
                  <c:v>15</c:v>
                </c:pt>
                <c:pt idx="6">
                  <c:v>22</c:v>
                </c:pt>
                <c:pt idx="7">
                  <c:v>17</c:v>
                </c:pt>
                <c:pt idx="8">
                  <c:v>16</c:v>
                </c:pt>
                <c:pt idx="9">
                  <c:v>18</c:v>
                </c:pt>
                <c:pt idx="10">
                  <c:v>13</c:v>
                </c:pt>
                <c:pt idx="11">
                  <c:v>21</c:v>
                </c:pt>
                <c:pt idx="12">
                  <c:v>19</c:v>
                </c:pt>
                <c:pt idx="13">
                  <c:v>14</c:v>
                </c:pt>
                <c:pt idx="14">
                  <c:v>15</c:v>
                </c:pt>
                <c:pt idx="15">
                  <c:v>5</c:v>
                </c:pt>
                <c:pt idx="16">
                  <c:v>4</c:v>
                </c:pt>
                <c:pt idx="17">
                  <c:v>6</c:v>
                </c:pt>
              </c:numCache>
            </c:numRef>
          </c:val>
        </c:ser>
        <c:dLbls>
          <c:showLegendKey val="0"/>
          <c:showVal val="0"/>
          <c:showCatName val="0"/>
          <c:showSerName val="0"/>
          <c:showPercent val="0"/>
          <c:showBubbleSize val="0"/>
        </c:dLbls>
        <c:gapWidth val="150"/>
        <c:overlap val="100"/>
        <c:axId val="284516320"/>
        <c:axId val="284518280"/>
      </c:barChart>
      <c:catAx>
        <c:axId val="284516320"/>
        <c:scaling>
          <c:orientation val="minMax"/>
        </c:scaling>
        <c:delete val="0"/>
        <c:axPos val="l"/>
        <c:title>
          <c:tx>
            <c:rich>
              <a:bodyPr rot="-5400000" vert="horz"/>
              <a:lstStyle/>
              <a:p>
                <a:pPr>
                  <a:defRPr b="0"/>
                </a:pPr>
                <a:r>
                  <a:rPr lang="cs-CZ" b="0"/>
                  <a:t>pětileté věkové skupiny obyvatel</a:t>
                </a:r>
              </a:p>
            </c:rich>
          </c:tx>
          <c:overlay val="0"/>
        </c:title>
        <c:numFmt formatCode="General" sourceLinked="0"/>
        <c:majorTickMark val="out"/>
        <c:minorTickMark val="none"/>
        <c:tickLblPos val="nextTo"/>
        <c:spPr>
          <a:ln>
            <a:solidFill>
              <a:schemeClr val="accent1"/>
            </a:solidFill>
          </a:ln>
        </c:spPr>
        <c:crossAx val="284518280"/>
        <c:crosses val="autoZero"/>
        <c:auto val="1"/>
        <c:lblAlgn val="ctr"/>
        <c:lblOffset val="100"/>
        <c:noMultiLvlLbl val="0"/>
      </c:catAx>
      <c:valAx>
        <c:axId val="284518280"/>
        <c:scaling>
          <c:orientation val="minMax"/>
          <c:max val="50"/>
          <c:min val="0"/>
        </c:scaling>
        <c:delete val="0"/>
        <c:axPos val="b"/>
        <c:majorGridlines>
          <c:spPr>
            <a:ln>
              <a:solidFill>
                <a:schemeClr val="accent1"/>
              </a:solidFill>
            </a:ln>
          </c:spPr>
        </c:majorGridlines>
        <c:title>
          <c:tx>
            <c:rich>
              <a:bodyPr/>
              <a:lstStyle/>
              <a:p>
                <a:pPr>
                  <a:defRPr b="0"/>
                </a:pPr>
                <a:r>
                  <a:rPr lang="cs-CZ" b="0"/>
                  <a:t>p</a:t>
                </a:r>
                <a:r>
                  <a:rPr lang="en-US" b="0"/>
                  <a:t>o</a:t>
                </a:r>
                <a:r>
                  <a:rPr lang="cs-CZ" b="0"/>
                  <a:t>čet obyvatel ve</a:t>
                </a:r>
                <a:r>
                  <a:rPr lang="cs-CZ" b="0" baseline="0"/>
                  <a:t> </a:t>
                </a:r>
                <a:r>
                  <a:rPr lang="cs-CZ" b="0"/>
                  <a:t>věkových</a:t>
                </a:r>
                <a:r>
                  <a:rPr lang="cs-CZ" b="0" baseline="0"/>
                  <a:t> skupinách s podílem mežů a žen</a:t>
                </a:r>
                <a:r>
                  <a:rPr lang="cs-CZ" b="0"/>
                  <a:t>  </a:t>
                </a:r>
              </a:p>
            </c:rich>
          </c:tx>
          <c:overlay val="0"/>
        </c:title>
        <c:numFmt formatCode="#,##0_ ;\-#,##0\ " sourceLinked="1"/>
        <c:majorTickMark val="out"/>
        <c:minorTickMark val="none"/>
        <c:tickLblPos val="nextTo"/>
        <c:spPr>
          <a:ln>
            <a:solidFill>
              <a:schemeClr val="tx2"/>
            </a:solidFill>
          </a:ln>
        </c:spPr>
        <c:crossAx val="284516320"/>
        <c:crosses val="autoZero"/>
        <c:crossBetween val="between"/>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dLbls>
            <c:dLbl>
              <c:idx val="3"/>
              <c:layout>
                <c:manualLayout>
                  <c:x val="-1.1088188122554852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352054032675593E-3"/>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obyvatelstvo!$J$91:$J$95</c:f>
              <c:strCache>
                <c:ptCount val="5"/>
                <c:pt idx="0">
                  <c:v>základní vč. neukončeného</c:v>
                </c:pt>
                <c:pt idx="1">
                  <c:v>střední vč. vyučení (bez maturity)</c:v>
                </c:pt>
                <c:pt idx="2">
                  <c:v>úplné střední (s maturitou) a vyšší odborné</c:v>
                </c:pt>
                <c:pt idx="3">
                  <c:v>vysokoškolské</c:v>
                </c:pt>
                <c:pt idx="4">
                  <c:v>bez vzdělání</c:v>
                </c:pt>
              </c:strCache>
            </c:strRef>
          </c:cat>
          <c:val>
            <c:numRef>
              <c:f>obyvatelstvo!$K$91:$K$95</c:f>
              <c:numCache>
                <c:formatCode>General</c:formatCode>
                <c:ptCount val="5"/>
                <c:pt idx="0">
                  <c:v>84</c:v>
                </c:pt>
                <c:pt idx="1">
                  <c:v>158</c:v>
                </c:pt>
                <c:pt idx="2">
                  <c:v>125</c:v>
                </c:pt>
                <c:pt idx="3">
                  <c:v>35</c:v>
                </c:pt>
                <c:pt idx="4" formatCode="###,###,##0">
                  <c:v>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4449722052751057"/>
          <c:y val="0.1626009003830734"/>
          <c:w val="0.33998416717508012"/>
          <c:h val="0.6838662920425701"/>
        </c:manualLayout>
      </c:layout>
      <c:overlay val="0"/>
      <c:txPr>
        <a:bodyPr/>
        <a:lstStyle/>
        <a:p>
          <a:pPr rtl="0">
            <a:defRPr/>
          </a:pPr>
          <a:endParaRPr lang="cs-CZ"/>
        </a:p>
      </c:txPr>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32AA63F-B7E7-4582-A391-9DB12F19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7433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Šafařík</dc:creator>
  <cp:lastModifiedBy>Petr Ponikelský</cp:lastModifiedBy>
  <cp:revision>3</cp:revision>
  <cp:lastPrinted>2017-10-30T09:24:00Z</cp:lastPrinted>
  <dcterms:created xsi:type="dcterms:W3CDTF">2019-04-11T20:30:00Z</dcterms:created>
  <dcterms:modified xsi:type="dcterms:W3CDTF">2019-04-11T20:31:00Z</dcterms:modified>
</cp:coreProperties>
</file>