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EF" w:rsidRPr="005E78D3" w:rsidRDefault="009201EF" w:rsidP="005E78D3">
      <w:pPr>
        <w:pStyle w:val="Nadpis2"/>
      </w:pPr>
      <w:bookmarkStart w:id="0" w:name="_Toc420948851"/>
      <w:bookmarkStart w:id="1" w:name="_Toc431553415"/>
      <w:bookmarkStart w:id="2" w:name="_Toc4668529"/>
      <w:r w:rsidRPr="005E78D3">
        <w:t>Obyvatelstvo</w:t>
      </w:r>
      <w:bookmarkEnd w:id="0"/>
      <w:bookmarkEnd w:id="1"/>
      <w:bookmarkEnd w:id="2"/>
    </w:p>
    <w:p w:rsidR="00A77124" w:rsidRPr="009201EF" w:rsidRDefault="00A77124" w:rsidP="00A77124">
      <w:pPr>
        <w:jc w:val="both"/>
        <w:rPr>
          <w:rFonts w:ascii="Times New Roman" w:hAnsi="Times New Roman" w:cs="Times New Roman"/>
        </w:rPr>
      </w:pPr>
      <w:r w:rsidRPr="009201EF">
        <w:rPr>
          <w:rFonts w:ascii="Times New Roman" w:hAnsi="Times New Roman" w:cs="Times New Roman"/>
        </w:rPr>
        <w:t>V kapitole obyvatelstvo jsou sledovány základní</w:t>
      </w:r>
      <w:r>
        <w:rPr>
          <w:rFonts w:ascii="Times New Roman" w:hAnsi="Times New Roman" w:cs="Times New Roman"/>
        </w:rPr>
        <w:t xml:space="preserve"> demografické</w:t>
      </w:r>
      <w:r w:rsidRPr="009201EF">
        <w:rPr>
          <w:rFonts w:ascii="Times New Roman" w:hAnsi="Times New Roman" w:cs="Times New Roman"/>
        </w:rPr>
        <w:t xml:space="preserve"> ch</w:t>
      </w:r>
      <w:r>
        <w:rPr>
          <w:rFonts w:ascii="Times New Roman" w:hAnsi="Times New Roman" w:cs="Times New Roman"/>
        </w:rPr>
        <w:t>arakteristiky -</w:t>
      </w:r>
      <w:r w:rsidRPr="009201EF">
        <w:rPr>
          <w:rFonts w:ascii="Times New Roman" w:hAnsi="Times New Roman" w:cs="Times New Roman"/>
        </w:rPr>
        <w:t xml:space="preserve"> vývoj celkového počtu obyvatelstva, přirozený přírůstek a úbytek, přírůstek stěhováním, věková a vzdělanostní struktura obyvatelstva.</w:t>
      </w:r>
      <w:r>
        <w:rPr>
          <w:rFonts w:ascii="Times New Roman" w:hAnsi="Times New Roman" w:cs="Times New Roman"/>
        </w:rPr>
        <w:t xml:space="preserve">  </w:t>
      </w: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Tabulka: Vývoj</w:t>
      </w:r>
      <w:r w:rsidRPr="009201EF">
        <w:rPr>
          <w:rFonts w:ascii="Times New Roman" w:hAnsi="Times New Roman" w:cs="Times New Roman"/>
          <w:sz w:val="18"/>
        </w:rPr>
        <w:t xml:space="preserve"> počtu obyvatel</w:t>
      </w:r>
      <w:r>
        <w:rPr>
          <w:rFonts w:ascii="Times New Roman" w:hAnsi="Times New Roman" w:cs="Times New Roman"/>
          <w:sz w:val="18"/>
        </w:rPr>
        <w:t xml:space="preserve"> celkem a dle pohlaví</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796"/>
        <w:gridCol w:w="797"/>
        <w:gridCol w:w="797"/>
        <w:gridCol w:w="797"/>
        <w:gridCol w:w="797"/>
        <w:gridCol w:w="797"/>
        <w:gridCol w:w="797"/>
        <w:gridCol w:w="797"/>
        <w:gridCol w:w="797"/>
        <w:gridCol w:w="835"/>
        <w:gridCol w:w="1055"/>
      </w:tblGrid>
      <w:tr w:rsidR="00A77124" w:rsidRPr="002E596E" w:rsidTr="00801E34">
        <w:trPr>
          <w:trHeight w:val="255"/>
        </w:trPr>
        <w:tc>
          <w:tcPr>
            <w:tcW w:w="327"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Rok</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2008</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2009</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2010</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2011</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2012</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2013</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2014</w:t>
            </w:r>
          </w:p>
        </w:tc>
        <w:tc>
          <w:tcPr>
            <w:tcW w:w="451"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2015</w:t>
            </w:r>
          </w:p>
        </w:tc>
        <w:tc>
          <w:tcPr>
            <w:tcW w:w="472"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2016</w:t>
            </w:r>
          </w:p>
        </w:tc>
        <w:tc>
          <w:tcPr>
            <w:tcW w:w="596"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2017</w:t>
            </w:r>
          </w:p>
        </w:tc>
      </w:tr>
      <w:tr w:rsidR="00A77124" w:rsidRPr="002E596E" w:rsidTr="00801E34">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Celkem</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1072</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1052</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1049</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1044</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1055</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1044</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1042</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1045</w:t>
            </w:r>
          </w:p>
        </w:tc>
        <w:tc>
          <w:tcPr>
            <w:tcW w:w="472"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1043</w:t>
            </w:r>
          </w:p>
        </w:tc>
        <w:tc>
          <w:tcPr>
            <w:tcW w:w="59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1036</w:t>
            </w:r>
          </w:p>
        </w:tc>
      </w:tr>
      <w:tr w:rsidR="00A77124" w:rsidRPr="002E596E" w:rsidTr="00801E34">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Muži</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545</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542</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541</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528</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530</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527</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527</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530</w:t>
            </w:r>
          </w:p>
        </w:tc>
        <w:tc>
          <w:tcPr>
            <w:tcW w:w="472"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526</w:t>
            </w:r>
          </w:p>
        </w:tc>
        <w:tc>
          <w:tcPr>
            <w:tcW w:w="59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527</w:t>
            </w:r>
          </w:p>
        </w:tc>
      </w:tr>
      <w:tr w:rsidR="00A77124" w:rsidRPr="002E596E" w:rsidTr="00801E34">
        <w:trPr>
          <w:trHeight w:val="255"/>
        </w:trPr>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Ženy</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527</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510</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508</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516</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525</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517</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515</w:t>
            </w:r>
          </w:p>
        </w:tc>
        <w:tc>
          <w:tcPr>
            <w:tcW w:w="45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515</w:t>
            </w:r>
          </w:p>
        </w:tc>
        <w:tc>
          <w:tcPr>
            <w:tcW w:w="472"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517</w:t>
            </w:r>
          </w:p>
        </w:tc>
        <w:tc>
          <w:tcPr>
            <w:tcW w:w="59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509</w:t>
            </w:r>
          </w:p>
        </w:tc>
      </w:tr>
    </w:tbl>
    <w:p w:rsidR="00A77124" w:rsidRPr="009201EF" w:rsidRDefault="00A77124" w:rsidP="00A77124">
      <w:pPr>
        <w:rPr>
          <w:rFonts w:ascii="Times New Roman" w:hAnsi="Times New Roman" w:cs="Times New Roman"/>
          <w:sz w:val="18"/>
        </w:rPr>
      </w:pPr>
      <w:r w:rsidRPr="009201EF">
        <w:rPr>
          <w:rFonts w:ascii="Times New Roman" w:hAnsi="Times New Roman" w:cs="Times New Roman"/>
          <w:sz w:val="18"/>
        </w:rPr>
        <w:t>Zdroj: ČSÚ, vlastní zpracování</w:t>
      </w:r>
    </w:p>
    <w:p w:rsidR="00A77124" w:rsidRDefault="00A77124" w:rsidP="00A77124">
      <w:pPr>
        <w:jc w:val="both"/>
        <w:rPr>
          <w:rFonts w:ascii="Times New Roman" w:hAnsi="Times New Roman" w:cs="Times New Roman"/>
        </w:rPr>
      </w:pPr>
      <w:r w:rsidRPr="009201EF">
        <w:rPr>
          <w:rFonts w:ascii="Times New Roman" w:hAnsi="Times New Roman" w:cs="Times New Roman"/>
        </w:rPr>
        <w:t>Vývoj celkového počtu obyvatel má ve sledovaném období</w:t>
      </w:r>
      <w:r>
        <w:rPr>
          <w:rFonts w:ascii="Times New Roman" w:hAnsi="Times New Roman" w:cs="Times New Roman"/>
        </w:rPr>
        <w:t xml:space="preserve"> (2008 – 2017)</w:t>
      </w:r>
      <w:r w:rsidRPr="009201EF">
        <w:rPr>
          <w:rFonts w:ascii="Times New Roman" w:hAnsi="Times New Roman" w:cs="Times New Roman"/>
        </w:rPr>
        <w:t xml:space="preserve"> </w:t>
      </w:r>
      <w:r>
        <w:rPr>
          <w:rFonts w:ascii="Times New Roman" w:hAnsi="Times New Roman" w:cs="Times New Roman"/>
        </w:rPr>
        <w:t xml:space="preserve">klesající vývojovou charakteristiku. V průběhu poslední dekády počet obyvatel klesl o 36 obyvatel (3,4 %). Tento klesající trend probíhá od </w:t>
      </w:r>
      <w:r w:rsidRPr="00C45FE4">
        <w:rPr>
          <w:rFonts w:ascii="Times New Roman" w:hAnsi="Times New Roman" w:cs="Times New Roman"/>
        </w:rPr>
        <w:t>roku 2001</w:t>
      </w:r>
      <w:r>
        <w:rPr>
          <w:rFonts w:ascii="Times New Roman" w:hAnsi="Times New Roman" w:cs="Times New Roman"/>
        </w:rPr>
        <w:t xml:space="preserve"> (1076 obyvatel). </w:t>
      </w:r>
    </w:p>
    <w:p w:rsidR="00A77124" w:rsidRPr="009201EF" w:rsidRDefault="00A77124" w:rsidP="00A77124">
      <w:pPr>
        <w:spacing w:after="0" w:line="240" w:lineRule="auto"/>
        <w:jc w:val="both"/>
        <w:rPr>
          <w:rFonts w:ascii="Times New Roman" w:hAnsi="Times New Roman" w:cs="Times New Roman"/>
        </w:rPr>
      </w:pPr>
    </w:p>
    <w:p w:rsidR="00A77124" w:rsidRDefault="00A77124" w:rsidP="00A77124">
      <w:pPr>
        <w:jc w:val="both"/>
        <w:rPr>
          <w:rFonts w:ascii="Times New Roman" w:hAnsi="Times New Roman" w:cs="Times New Roman"/>
        </w:rPr>
      </w:pPr>
      <w:r w:rsidRPr="009201EF">
        <w:rPr>
          <w:rFonts w:ascii="Times New Roman" w:hAnsi="Times New Roman" w:cs="Times New Roman"/>
        </w:rPr>
        <w:t xml:space="preserve">Následující graf zachycuje </w:t>
      </w:r>
      <w:r>
        <w:rPr>
          <w:rFonts w:ascii="Times New Roman" w:hAnsi="Times New Roman" w:cs="Times New Roman"/>
        </w:rPr>
        <w:t>obec</w:t>
      </w:r>
      <w:r w:rsidRPr="009201EF">
        <w:rPr>
          <w:rFonts w:ascii="Times New Roman" w:hAnsi="Times New Roman" w:cs="Times New Roman"/>
        </w:rPr>
        <w:t xml:space="preserve"> ve srovnání s SO ORP </w:t>
      </w:r>
      <w:r>
        <w:rPr>
          <w:rFonts w:ascii="Times New Roman" w:hAnsi="Times New Roman" w:cs="Times New Roman"/>
        </w:rPr>
        <w:t>Tanvald v meziročním relativním vývoji počtu obyvatel</w:t>
      </w:r>
      <w:r w:rsidRPr="009201EF">
        <w:rPr>
          <w:rFonts w:ascii="Times New Roman" w:hAnsi="Times New Roman" w:cs="Times New Roman"/>
        </w:rPr>
        <w:t>. Z grafu je patrné, že</w:t>
      </w:r>
      <w:r>
        <w:rPr>
          <w:rFonts w:ascii="Times New Roman" w:hAnsi="Times New Roman" w:cs="Times New Roman"/>
        </w:rPr>
        <w:t xml:space="preserve"> meziroční</w:t>
      </w:r>
      <w:r w:rsidRPr="009201EF">
        <w:rPr>
          <w:rFonts w:ascii="Times New Roman" w:hAnsi="Times New Roman" w:cs="Times New Roman"/>
        </w:rPr>
        <w:t xml:space="preserve"> </w:t>
      </w:r>
      <w:r>
        <w:rPr>
          <w:rFonts w:ascii="Times New Roman" w:hAnsi="Times New Roman" w:cs="Times New Roman"/>
        </w:rPr>
        <w:t xml:space="preserve">vývoj počtu obyvatel kopíruje trend vývoje širšího území SO ORP Tanvald. </w:t>
      </w:r>
    </w:p>
    <w:p w:rsidR="00A77124" w:rsidRPr="004A45BA" w:rsidRDefault="00A77124" w:rsidP="00A77124">
      <w:pPr>
        <w:jc w:val="both"/>
        <w:rPr>
          <w:rFonts w:ascii="Times New Roman" w:hAnsi="Times New Roman" w:cs="Times New Roman"/>
        </w:rPr>
      </w:pPr>
      <w:r>
        <w:rPr>
          <w:rFonts w:ascii="Times New Roman" w:hAnsi="Times New Roman" w:cs="Times New Roman"/>
        </w:rPr>
        <w:t>Zaznamenaný výkyv v roce 2011 je primárně způsobem úpravou dat z výsledků SLDB 2011.</w:t>
      </w:r>
    </w:p>
    <w:p w:rsidR="00A77124" w:rsidRDefault="00A77124" w:rsidP="00A77124">
      <w:pPr>
        <w:spacing w:after="0" w:line="240" w:lineRule="auto"/>
        <w:rPr>
          <w:rFonts w:ascii="Times New Roman" w:hAnsi="Times New Roman" w:cs="Times New Roman"/>
          <w:sz w:val="18"/>
        </w:rPr>
      </w:pP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Srovnání meziročního</w:t>
      </w:r>
      <w:r>
        <w:rPr>
          <w:rFonts w:ascii="Times New Roman" w:hAnsi="Times New Roman" w:cs="Times New Roman"/>
          <w:sz w:val="18"/>
        </w:rPr>
        <w:t xml:space="preserve"> vývoje počtu obyvatel v %, 2008 - 2017</w:t>
      </w:r>
    </w:p>
    <w:p w:rsidR="00A77124" w:rsidRPr="009201EF" w:rsidRDefault="00A77124" w:rsidP="00A77124">
      <w:pPr>
        <w:spacing w:after="0" w:line="240" w:lineRule="auto"/>
        <w:rPr>
          <w:rFonts w:ascii="Times New Roman" w:hAnsi="Times New Roman" w:cs="Times New Roman"/>
        </w:rPr>
      </w:pPr>
      <w:r>
        <w:rPr>
          <w:noProof/>
          <w:lang w:eastAsia="cs-CZ"/>
        </w:rPr>
        <w:drawing>
          <wp:inline distT="0" distB="0" distL="0" distR="0" wp14:anchorId="12CB26DE" wp14:editId="169EDBB5">
            <wp:extent cx="5753100" cy="2486025"/>
            <wp:effectExtent l="57150" t="57150" r="76200" b="857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7124" w:rsidRPr="009201EF" w:rsidRDefault="00A77124" w:rsidP="00A77124">
      <w:pPr>
        <w:rPr>
          <w:rFonts w:ascii="Times New Roman" w:hAnsi="Times New Roman" w:cs="Times New Roman"/>
          <w:sz w:val="18"/>
        </w:rPr>
      </w:pPr>
      <w:r w:rsidRPr="009201EF">
        <w:rPr>
          <w:rFonts w:ascii="Times New Roman" w:hAnsi="Times New Roman" w:cs="Times New Roman"/>
          <w:sz w:val="18"/>
        </w:rPr>
        <w:t>Zdroj: ČSÚ, vlastní zpracování</w:t>
      </w:r>
    </w:p>
    <w:p w:rsidR="00A77124" w:rsidRPr="009201EF" w:rsidRDefault="00A77124" w:rsidP="00A77124">
      <w:pPr>
        <w:spacing w:after="0"/>
        <w:jc w:val="both"/>
        <w:rPr>
          <w:rFonts w:ascii="Times New Roman" w:hAnsi="Times New Roman" w:cs="Times New Roman"/>
        </w:rPr>
      </w:pPr>
      <w:r w:rsidRPr="009201EF">
        <w:rPr>
          <w:rFonts w:ascii="Times New Roman" w:hAnsi="Times New Roman" w:cs="Times New Roman"/>
        </w:rPr>
        <w:t>V</w:t>
      </w:r>
      <w:r>
        <w:rPr>
          <w:rFonts w:ascii="Times New Roman" w:hAnsi="Times New Roman" w:cs="Times New Roman"/>
        </w:rPr>
        <w:t> grafu je zachycen vývoj</w:t>
      </w:r>
      <w:r w:rsidRPr="009201EF">
        <w:rPr>
          <w:rFonts w:ascii="Times New Roman" w:hAnsi="Times New Roman" w:cs="Times New Roman"/>
        </w:rPr>
        <w:t xml:space="preserve"> celkového počtu obyvatel</w:t>
      </w:r>
      <w:r>
        <w:rPr>
          <w:rFonts w:ascii="Times New Roman" w:hAnsi="Times New Roman" w:cs="Times New Roman"/>
        </w:rPr>
        <w:t>, který je počítán k výchozímu roku 2008.  Výchozí</w:t>
      </w:r>
      <w:r w:rsidRPr="009201EF">
        <w:rPr>
          <w:rFonts w:ascii="Times New Roman" w:hAnsi="Times New Roman" w:cs="Times New Roman"/>
        </w:rPr>
        <w:t xml:space="preserve"> rok</w:t>
      </w:r>
      <w:r>
        <w:rPr>
          <w:rFonts w:ascii="Times New Roman" w:hAnsi="Times New Roman" w:cs="Times New Roman"/>
        </w:rPr>
        <w:t xml:space="preserve"> je</w:t>
      </w:r>
      <w:r w:rsidRPr="009201EF">
        <w:rPr>
          <w:rFonts w:ascii="Times New Roman" w:hAnsi="Times New Roman" w:cs="Times New Roman"/>
        </w:rPr>
        <w:t xml:space="preserve"> znázorněn hodnotou 100% a v absolu</w:t>
      </w:r>
      <w:r>
        <w:rPr>
          <w:rFonts w:ascii="Times New Roman" w:hAnsi="Times New Roman" w:cs="Times New Roman"/>
        </w:rPr>
        <w:t xml:space="preserve">tním vyjádření odpovídá hodnotě 1072 </w:t>
      </w:r>
      <w:r w:rsidRPr="009201EF">
        <w:rPr>
          <w:rFonts w:ascii="Times New Roman" w:hAnsi="Times New Roman" w:cs="Times New Roman"/>
        </w:rPr>
        <w:t xml:space="preserve">obyvatel. </w:t>
      </w:r>
    </w:p>
    <w:p w:rsidR="00A77124" w:rsidRPr="009201EF" w:rsidRDefault="00A77124" w:rsidP="00A77124">
      <w:pPr>
        <w:spacing w:after="0"/>
        <w:jc w:val="both"/>
        <w:rPr>
          <w:rFonts w:ascii="Times New Roman" w:hAnsi="Times New Roman" w:cs="Times New Roman"/>
        </w:rPr>
      </w:pPr>
      <w:r w:rsidRPr="009201EF">
        <w:rPr>
          <w:rFonts w:ascii="Times New Roman" w:hAnsi="Times New Roman" w:cs="Times New Roman"/>
        </w:rPr>
        <w:t xml:space="preserve">   </w:t>
      </w:r>
    </w:p>
    <w:p w:rsidR="00A77124" w:rsidRDefault="00A77124" w:rsidP="00A77124">
      <w:pPr>
        <w:jc w:val="both"/>
        <w:rPr>
          <w:rFonts w:ascii="Times New Roman" w:hAnsi="Times New Roman" w:cs="Times New Roman"/>
        </w:rPr>
      </w:pPr>
      <w:r w:rsidRPr="009201EF">
        <w:rPr>
          <w:rFonts w:ascii="Times New Roman" w:hAnsi="Times New Roman" w:cs="Times New Roman"/>
        </w:rPr>
        <w:t>Celkový vývoj obyvatelstva ovlivňují dvě základní složky tohoto ukazatele. První se týká mechanického pohybu obyvatel (vystěhovalí, přistěhovalí) a druhá přirozené měn</w:t>
      </w:r>
      <w:r>
        <w:rPr>
          <w:rFonts w:ascii="Times New Roman" w:hAnsi="Times New Roman" w:cs="Times New Roman"/>
        </w:rPr>
        <w:t>y obyvatel (narození, zemřelí).</w:t>
      </w:r>
    </w:p>
    <w:p w:rsidR="00A77124" w:rsidRDefault="00A77124" w:rsidP="00A77124">
      <w:pPr>
        <w:jc w:val="both"/>
        <w:rPr>
          <w:rFonts w:ascii="Times New Roman" w:hAnsi="Times New Roman" w:cs="Times New Roman"/>
        </w:rPr>
      </w:pPr>
    </w:p>
    <w:p w:rsidR="00A77124" w:rsidRDefault="00A77124" w:rsidP="00A77124">
      <w:pPr>
        <w:spacing w:after="0" w:line="240" w:lineRule="auto"/>
        <w:rPr>
          <w:rFonts w:ascii="Times New Roman" w:hAnsi="Times New Roman" w:cs="Times New Roman"/>
        </w:rPr>
      </w:pPr>
    </w:p>
    <w:p w:rsidR="00A77124" w:rsidRDefault="00A77124" w:rsidP="00A77124">
      <w:pPr>
        <w:spacing w:after="0" w:line="240" w:lineRule="auto"/>
        <w:rPr>
          <w:rFonts w:ascii="Times New Roman" w:hAnsi="Times New Roman" w:cs="Times New Roman"/>
          <w:sz w:val="18"/>
        </w:rPr>
      </w:pP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lastRenderedPageBreak/>
        <w:t xml:space="preserve">Graf: </w:t>
      </w:r>
      <w:r w:rsidRPr="009201EF">
        <w:rPr>
          <w:rFonts w:ascii="Times New Roman" w:hAnsi="Times New Roman" w:cs="Times New Roman"/>
          <w:sz w:val="18"/>
        </w:rPr>
        <w:t>Vývoj a struktu</w:t>
      </w:r>
      <w:r>
        <w:rPr>
          <w:rFonts w:ascii="Times New Roman" w:hAnsi="Times New Roman" w:cs="Times New Roman"/>
          <w:sz w:val="18"/>
        </w:rPr>
        <w:t>ra celkového přírůstku obyvatel</w:t>
      </w:r>
      <w:r w:rsidRPr="009201EF">
        <w:rPr>
          <w:rFonts w:ascii="Times New Roman" w:hAnsi="Times New Roman" w:cs="Times New Roman"/>
          <w:sz w:val="18"/>
        </w:rPr>
        <w:t xml:space="preserve"> v absolutních hodnotách</w:t>
      </w:r>
      <w:r>
        <w:rPr>
          <w:rFonts w:ascii="Times New Roman" w:hAnsi="Times New Roman" w:cs="Times New Roman"/>
          <w:sz w:val="18"/>
        </w:rPr>
        <w:t>, 2008 - 2017</w:t>
      </w:r>
    </w:p>
    <w:p w:rsidR="00A77124" w:rsidRPr="009201EF" w:rsidRDefault="00A77124" w:rsidP="00A77124">
      <w:pPr>
        <w:spacing w:after="0" w:line="240" w:lineRule="auto"/>
        <w:rPr>
          <w:rFonts w:ascii="Times New Roman" w:hAnsi="Times New Roman" w:cs="Times New Roman"/>
        </w:rPr>
      </w:pPr>
      <w:r>
        <w:rPr>
          <w:noProof/>
          <w:lang w:eastAsia="cs-CZ"/>
        </w:rPr>
        <w:drawing>
          <wp:inline distT="0" distB="0" distL="0" distR="0" wp14:anchorId="675F660D" wp14:editId="51DADC82">
            <wp:extent cx="5762625" cy="2133600"/>
            <wp:effectExtent l="76200" t="57150" r="66675" b="9525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77124" w:rsidRPr="00865187" w:rsidRDefault="00A77124" w:rsidP="00A77124">
      <w:pPr>
        <w:spacing w:line="240" w:lineRule="auto"/>
        <w:rPr>
          <w:rFonts w:ascii="Times New Roman" w:hAnsi="Times New Roman" w:cs="Times New Roman"/>
          <w:sz w:val="18"/>
        </w:rPr>
      </w:pPr>
      <w:r>
        <w:rPr>
          <w:rFonts w:ascii="Times New Roman" w:hAnsi="Times New Roman" w:cs="Times New Roman"/>
          <w:sz w:val="18"/>
        </w:rPr>
        <w:t>Zdroj: ČSÚ, vlastní zpracování</w:t>
      </w:r>
    </w:p>
    <w:p w:rsidR="00A77124" w:rsidRDefault="00A77124" w:rsidP="00A77124">
      <w:pPr>
        <w:jc w:val="both"/>
        <w:rPr>
          <w:rFonts w:ascii="Times New Roman" w:hAnsi="Times New Roman" w:cs="Times New Roman"/>
        </w:rPr>
      </w:pPr>
      <w:r>
        <w:rPr>
          <w:rFonts w:ascii="Times New Roman" w:hAnsi="Times New Roman" w:cs="Times New Roman"/>
        </w:rPr>
        <w:t xml:space="preserve">Dominantní složkou, která má vliv na vývoj celkového počtu obyvatel, jsou migrační přírůstky/úbytky obyvatel. Ve sledovaném období dosahuje migrační saldo převážně záporných hodnot, přičemž největší ztráta obyvatel stěhováním je patrná v období let 2008 – 2013 s následnou stabilizací na nulové hranici. Stěhováním tak dochází mezi lety 2008 – 2017 k průměrně roční ztrátě o 5 obyvatel. Přirozený přírůstek obyvatel je dlouhodobě pozitivně stabilní a pohybuje se u nulové hranice. Celkový vývoj počtu obyvatel je pak v průměrné hodnotě s roční ztrátou 5 obyvatel.  </w:t>
      </w:r>
    </w:p>
    <w:p w:rsidR="00A77124" w:rsidRDefault="00A77124" w:rsidP="00A77124">
      <w:pPr>
        <w:jc w:val="both"/>
        <w:rPr>
          <w:rFonts w:ascii="Times New Roman" w:hAnsi="Times New Roman" w:cs="Times New Roman"/>
        </w:rPr>
      </w:pPr>
    </w:p>
    <w:p w:rsidR="00A77124" w:rsidRDefault="00A77124" w:rsidP="00A77124">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Přehled údajů za přirozený a mechanic</w:t>
      </w:r>
      <w:r>
        <w:rPr>
          <w:rFonts w:ascii="Times New Roman" w:hAnsi="Times New Roman" w:cs="Times New Roman"/>
          <w:sz w:val="18"/>
        </w:rPr>
        <w:t>ký pohyb obyvatel mezi roky 2008 – 2017</w:t>
      </w:r>
      <w:r w:rsidRPr="009201EF">
        <w:rPr>
          <w:rFonts w:ascii="Times New Roman" w:hAnsi="Times New Roman" w:cs="Times New Roman"/>
          <w:sz w:val="18"/>
        </w:rPr>
        <w:t xml:space="preserve"> v absolutních hodnotách</w:t>
      </w:r>
    </w:p>
    <w:tbl>
      <w:tblPr>
        <w:tblW w:w="5000" w:type="pct"/>
        <w:tblCellMar>
          <w:left w:w="70" w:type="dxa"/>
          <w:right w:w="70" w:type="dxa"/>
        </w:tblCellMar>
        <w:tblLook w:val="04A0" w:firstRow="1" w:lastRow="0" w:firstColumn="1" w:lastColumn="0" w:noHBand="0" w:noVBand="1"/>
      </w:tblPr>
      <w:tblGrid>
        <w:gridCol w:w="753"/>
        <w:gridCol w:w="1038"/>
        <w:gridCol w:w="1038"/>
        <w:gridCol w:w="1038"/>
        <w:gridCol w:w="1039"/>
        <w:gridCol w:w="1039"/>
        <w:gridCol w:w="1039"/>
        <w:gridCol w:w="1039"/>
        <w:gridCol w:w="1039"/>
      </w:tblGrid>
      <w:tr w:rsidR="00A77124" w:rsidRPr="002E596E" w:rsidTr="00801E34">
        <w:trPr>
          <w:trHeight w:val="510"/>
        </w:trPr>
        <w:tc>
          <w:tcPr>
            <w:tcW w:w="41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Rok</w:t>
            </w:r>
          </w:p>
        </w:tc>
        <w:tc>
          <w:tcPr>
            <w:tcW w:w="573"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Narození</w:t>
            </w:r>
          </w:p>
        </w:tc>
        <w:tc>
          <w:tcPr>
            <w:tcW w:w="573"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Zemřelí</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proofErr w:type="spellStart"/>
            <w:r w:rsidRPr="002E596E">
              <w:rPr>
                <w:rFonts w:ascii="Times New Roman" w:eastAsia="Times New Roman" w:hAnsi="Times New Roman" w:cs="Times New Roman"/>
                <w:b/>
                <w:bCs/>
                <w:color w:val="FFFFFF"/>
                <w:sz w:val="20"/>
                <w:szCs w:val="20"/>
                <w:lang w:eastAsia="cs-CZ"/>
              </w:rPr>
              <w:t>Přistě</w:t>
            </w:r>
            <w:proofErr w:type="spellEnd"/>
            <w:r w:rsidRPr="002E596E">
              <w:rPr>
                <w:rFonts w:ascii="Times New Roman" w:eastAsia="Times New Roman" w:hAnsi="Times New Roman" w:cs="Times New Roman"/>
                <w:b/>
                <w:bCs/>
                <w:color w:val="FFFFFF"/>
                <w:sz w:val="20"/>
                <w:szCs w:val="20"/>
                <w:lang w:eastAsia="cs-CZ"/>
              </w:rPr>
              <w:t>-</w:t>
            </w:r>
            <w:r w:rsidRPr="002E596E">
              <w:rPr>
                <w:rFonts w:ascii="Times New Roman" w:eastAsia="Times New Roman" w:hAnsi="Times New Roman" w:cs="Times New Roman"/>
                <w:b/>
                <w:bCs/>
                <w:color w:val="FFFFFF"/>
                <w:sz w:val="20"/>
                <w:szCs w:val="20"/>
                <w:lang w:eastAsia="cs-CZ"/>
              </w:rPr>
              <w:br/>
            </w:r>
            <w:proofErr w:type="spellStart"/>
            <w:r w:rsidRPr="002E596E">
              <w:rPr>
                <w:rFonts w:ascii="Times New Roman" w:eastAsia="Times New Roman" w:hAnsi="Times New Roman" w:cs="Times New Roman"/>
                <w:b/>
                <w:bCs/>
                <w:color w:val="FFFFFF"/>
                <w:sz w:val="20"/>
                <w:szCs w:val="20"/>
                <w:lang w:eastAsia="cs-CZ"/>
              </w:rPr>
              <w:t>hovalí</w:t>
            </w:r>
            <w:proofErr w:type="spellEnd"/>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proofErr w:type="spellStart"/>
            <w:r w:rsidRPr="002E596E">
              <w:rPr>
                <w:rFonts w:ascii="Times New Roman" w:eastAsia="Times New Roman" w:hAnsi="Times New Roman" w:cs="Times New Roman"/>
                <w:b/>
                <w:bCs/>
                <w:color w:val="FFFFFF"/>
                <w:sz w:val="20"/>
                <w:szCs w:val="20"/>
                <w:lang w:eastAsia="cs-CZ"/>
              </w:rPr>
              <w:t>Vystě</w:t>
            </w:r>
            <w:proofErr w:type="spellEnd"/>
            <w:r w:rsidRPr="002E596E">
              <w:rPr>
                <w:rFonts w:ascii="Times New Roman" w:eastAsia="Times New Roman" w:hAnsi="Times New Roman" w:cs="Times New Roman"/>
                <w:b/>
                <w:bCs/>
                <w:color w:val="FFFFFF"/>
                <w:sz w:val="20"/>
                <w:szCs w:val="20"/>
                <w:lang w:eastAsia="cs-CZ"/>
              </w:rPr>
              <w:t>-</w:t>
            </w:r>
            <w:r w:rsidRPr="002E596E">
              <w:rPr>
                <w:rFonts w:ascii="Times New Roman" w:eastAsia="Times New Roman" w:hAnsi="Times New Roman" w:cs="Times New Roman"/>
                <w:b/>
                <w:bCs/>
                <w:color w:val="FFFFFF"/>
                <w:sz w:val="20"/>
                <w:szCs w:val="20"/>
                <w:lang w:eastAsia="cs-CZ"/>
              </w:rPr>
              <w:br/>
            </w:r>
            <w:proofErr w:type="spellStart"/>
            <w:r w:rsidRPr="002E596E">
              <w:rPr>
                <w:rFonts w:ascii="Times New Roman" w:eastAsia="Times New Roman" w:hAnsi="Times New Roman" w:cs="Times New Roman"/>
                <w:b/>
                <w:bCs/>
                <w:color w:val="FFFFFF"/>
                <w:sz w:val="20"/>
                <w:szCs w:val="20"/>
                <w:lang w:eastAsia="cs-CZ"/>
              </w:rPr>
              <w:t>hovalí</w:t>
            </w:r>
            <w:proofErr w:type="spellEnd"/>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Přírůstek přirozený</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Přírůstek migrační</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Přírůstek celkový</w:t>
            </w:r>
          </w:p>
        </w:tc>
        <w:tc>
          <w:tcPr>
            <w:tcW w:w="573"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Stav 31.12.</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2008</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16</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1072</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2009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14</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-20</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1052</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2010</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28</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1049</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20</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1044</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28</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1055</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1044</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2014</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-4</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1042</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0</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1045</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2016</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0</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1043</w:t>
            </w:r>
          </w:p>
        </w:tc>
      </w:tr>
      <w:tr w:rsidR="00A77124" w:rsidRPr="002E596E" w:rsidTr="00801E34">
        <w:trPr>
          <w:trHeight w:val="227"/>
        </w:trPr>
        <w:tc>
          <w:tcPr>
            <w:tcW w:w="41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2017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28</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30</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w:t>
            </w:r>
          </w:p>
        </w:tc>
        <w:tc>
          <w:tcPr>
            <w:tcW w:w="5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1036</w:t>
            </w:r>
          </w:p>
        </w:tc>
      </w:tr>
    </w:tbl>
    <w:p w:rsidR="00A77124" w:rsidRDefault="00A77124" w:rsidP="00A77124">
      <w:pPr>
        <w:spacing w:after="0" w:line="240" w:lineRule="auto"/>
        <w:rPr>
          <w:rFonts w:ascii="Times New Roman" w:hAnsi="Times New Roman" w:cs="Times New Roman"/>
          <w:sz w:val="18"/>
        </w:rPr>
      </w:pPr>
    </w:p>
    <w:p w:rsidR="00A77124" w:rsidRPr="00F22D67" w:rsidRDefault="00A77124" w:rsidP="00A77124">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w:t>
      </w:r>
      <w:r>
        <w:rPr>
          <w:rFonts w:ascii="Times New Roman" w:hAnsi="Times New Roman" w:cs="Times New Roman"/>
          <w:sz w:val="18"/>
        </w:rPr>
        <w:t>í</w:t>
      </w:r>
    </w:p>
    <w:p w:rsidR="00A77124" w:rsidRDefault="00A77124" w:rsidP="00A77124">
      <w:pPr>
        <w:jc w:val="both"/>
        <w:rPr>
          <w:rFonts w:ascii="Times New Roman" w:hAnsi="Times New Roman" w:cs="Times New Roman"/>
        </w:rPr>
      </w:pPr>
      <w:r>
        <w:rPr>
          <w:rFonts w:ascii="Times New Roman" w:hAnsi="Times New Roman" w:cs="Times New Roman"/>
        </w:rPr>
        <w:t>Přirozený přírůstek je výsledkem procesu rození a vymírání obyvatel. Z vývoje narozených je zřejmé ustálení hodnot kolem průměrné hodnoty 10 - obyvatel/rok. Z trendů v oblasti reprodukčního chování obyvatel ČR nelze předpokládat větší pozitivní výkyvy, spíše se bude jednat o mírný pokles. To stejné již neplatí pro hodnoty zemřelých, u kterých lze očekávat postupný nárůst, pro který bude charakteristický skokový vývoj zapříčiněný silnými demografickými vlnami poválečných ročníků, které budou mít přímý vliv na záporné hodnoty přirozeného přírůstku.</w:t>
      </w:r>
    </w:p>
    <w:p w:rsidR="00A77124" w:rsidRDefault="00A77124" w:rsidP="00A77124">
      <w:pPr>
        <w:jc w:val="both"/>
        <w:rPr>
          <w:rFonts w:ascii="Times New Roman" w:hAnsi="Times New Roman" w:cs="Times New Roman"/>
        </w:rPr>
      </w:pPr>
      <w:r>
        <w:rPr>
          <w:rFonts w:ascii="Times New Roman" w:hAnsi="Times New Roman" w:cs="Times New Roman"/>
        </w:rPr>
        <w:t xml:space="preserve">       </w:t>
      </w:r>
    </w:p>
    <w:p w:rsidR="00A77124" w:rsidRDefault="00A77124" w:rsidP="00A77124">
      <w:pPr>
        <w:jc w:val="both"/>
        <w:rPr>
          <w:rFonts w:ascii="Times New Roman" w:hAnsi="Times New Roman" w:cs="Times New Roman"/>
        </w:rPr>
      </w:pPr>
    </w:p>
    <w:p w:rsidR="00A77124" w:rsidRDefault="00A77124" w:rsidP="00A77124">
      <w:pPr>
        <w:jc w:val="both"/>
        <w:rPr>
          <w:rFonts w:ascii="Times New Roman" w:hAnsi="Times New Roman" w:cs="Times New Roman"/>
        </w:rPr>
      </w:pPr>
    </w:p>
    <w:p w:rsidR="00A77124" w:rsidRPr="00E60A4D" w:rsidRDefault="00A77124" w:rsidP="00A77124">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Věková struktura obyvatelstva</w:t>
      </w:r>
    </w:p>
    <w:p w:rsidR="00A77124" w:rsidRPr="009201EF" w:rsidRDefault="00A77124" w:rsidP="00A77124">
      <w:pPr>
        <w:spacing w:after="0"/>
        <w:jc w:val="both"/>
        <w:rPr>
          <w:rFonts w:ascii="Times New Roman" w:hAnsi="Times New Roman" w:cs="Times New Roman"/>
        </w:rPr>
      </w:pPr>
      <w:r>
        <w:rPr>
          <w:rFonts w:ascii="Times New Roman" w:hAnsi="Times New Roman" w:cs="Times New Roman"/>
        </w:rPr>
        <w:t>Věková struktura je sledována na základních</w:t>
      </w:r>
      <w:r w:rsidRPr="009201EF">
        <w:rPr>
          <w:rFonts w:ascii="Times New Roman" w:hAnsi="Times New Roman" w:cs="Times New Roman"/>
        </w:rPr>
        <w:t xml:space="preserve"> věkových skupin</w:t>
      </w:r>
      <w:r>
        <w:rPr>
          <w:rFonts w:ascii="Times New Roman" w:hAnsi="Times New Roman" w:cs="Times New Roman"/>
        </w:rPr>
        <w:t>ách</w:t>
      </w:r>
      <w:r w:rsidRPr="009201EF">
        <w:rPr>
          <w:rFonts w:ascii="Times New Roman" w:hAnsi="Times New Roman" w:cs="Times New Roman"/>
        </w:rPr>
        <w:t>, které jsou svým rozložením ekonomické povahy. Jedná se o složku tzv. předproduktivní 0 až 14 let, produktivní 15 až 64 let</w:t>
      </w:r>
      <w:r>
        <w:rPr>
          <w:rFonts w:ascii="Times New Roman" w:hAnsi="Times New Roman" w:cs="Times New Roman"/>
        </w:rPr>
        <w:t xml:space="preserve"> a poproduktivní 65 let a více. </w:t>
      </w:r>
      <w:r w:rsidRPr="009201EF">
        <w:rPr>
          <w:rFonts w:ascii="Times New Roman" w:hAnsi="Times New Roman" w:cs="Times New Roman"/>
        </w:rPr>
        <w:t>Pro</w:t>
      </w:r>
      <w:r>
        <w:rPr>
          <w:rFonts w:ascii="Times New Roman" w:hAnsi="Times New Roman" w:cs="Times New Roman"/>
        </w:rPr>
        <w:t xml:space="preserve"> sledování vývoje</w:t>
      </w:r>
      <w:r w:rsidRPr="009201EF">
        <w:rPr>
          <w:rFonts w:ascii="Times New Roman" w:hAnsi="Times New Roman" w:cs="Times New Roman"/>
        </w:rPr>
        <w:t xml:space="preserve"> </w:t>
      </w:r>
      <w:r>
        <w:rPr>
          <w:rFonts w:ascii="Times New Roman" w:hAnsi="Times New Roman" w:cs="Times New Roman"/>
        </w:rPr>
        <w:t>jsou použity</w:t>
      </w:r>
      <w:r w:rsidRPr="009201EF">
        <w:rPr>
          <w:rFonts w:ascii="Times New Roman" w:hAnsi="Times New Roman" w:cs="Times New Roman"/>
        </w:rPr>
        <w:t xml:space="preserve"> milníky</w:t>
      </w:r>
      <w:r>
        <w:rPr>
          <w:rFonts w:ascii="Times New Roman" w:hAnsi="Times New Roman" w:cs="Times New Roman"/>
        </w:rPr>
        <w:t xml:space="preserve"> SLDB 2001, 2011 a aktuálně rok 2017</w:t>
      </w:r>
      <w:r w:rsidRPr="009201EF">
        <w:rPr>
          <w:rFonts w:ascii="Times New Roman" w:hAnsi="Times New Roman" w:cs="Times New Roman"/>
        </w:rPr>
        <w:t xml:space="preserve">. </w:t>
      </w:r>
    </w:p>
    <w:p w:rsidR="00A77124" w:rsidRPr="009201EF" w:rsidRDefault="00A77124" w:rsidP="00A77124">
      <w:pPr>
        <w:spacing w:after="0" w:line="240" w:lineRule="auto"/>
        <w:jc w:val="both"/>
        <w:rPr>
          <w:rFonts w:ascii="Times New Roman" w:hAnsi="Times New Roman" w:cs="Times New Roman"/>
        </w:rPr>
      </w:pP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Územn</w:t>
      </w:r>
      <w:r>
        <w:rPr>
          <w:rFonts w:ascii="Times New Roman" w:hAnsi="Times New Roman" w:cs="Times New Roman"/>
          <w:sz w:val="18"/>
        </w:rPr>
        <w:t>í srovnání vývoje dle produktivních</w:t>
      </w:r>
      <w:r w:rsidRPr="009201EF">
        <w:rPr>
          <w:rFonts w:ascii="Times New Roman" w:hAnsi="Times New Roman" w:cs="Times New Roman"/>
          <w:sz w:val="18"/>
        </w:rPr>
        <w:t xml:space="preserve"> věkových </w:t>
      </w:r>
      <w:r>
        <w:rPr>
          <w:rFonts w:ascii="Times New Roman" w:hAnsi="Times New Roman" w:cs="Times New Roman"/>
          <w:sz w:val="18"/>
        </w:rPr>
        <w:t>skupin a pohlaví v letech 2001, 2011, 2017</w:t>
      </w:r>
    </w:p>
    <w:tbl>
      <w:tblPr>
        <w:tblW w:w="5000" w:type="pct"/>
        <w:tblCellMar>
          <w:left w:w="70" w:type="dxa"/>
          <w:right w:w="70" w:type="dxa"/>
        </w:tblCellMar>
        <w:tblLook w:val="04A0" w:firstRow="1" w:lastRow="0" w:firstColumn="1" w:lastColumn="0" w:noHBand="0" w:noVBand="1"/>
      </w:tblPr>
      <w:tblGrid>
        <w:gridCol w:w="2024"/>
        <w:gridCol w:w="778"/>
        <w:gridCol w:w="951"/>
        <w:gridCol w:w="602"/>
        <w:gridCol w:w="779"/>
        <w:gridCol w:w="951"/>
        <w:gridCol w:w="602"/>
        <w:gridCol w:w="794"/>
        <w:gridCol w:w="968"/>
        <w:gridCol w:w="613"/>
      </w:tblGrid>
      <w:tr w:rsidR="00A77124" w:rsidRPr="002E596E" w:rsidTr="00801E34">
        <w:trPr>
          <w:trHeight w:val="255"/>
        </w:trPr>
        <w:tc>
          <w:tcPr>
            <w:tcW w:w="728" w:type="pct"/>
            <w:vMerge w:val="restar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Rok</w:t>
            </w:r>
          </w:p>
        </w:tc>
        <w:tc>
          <w:tcPr>
            <w:tcW w:w="1416"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2001</w:t>
            </w:r>
          </w:p>
        </w:tc>
        <w:tc>
          <w:tcPr>
            <w:tcW w:w="1416"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2011</w:t>
            </w:r>
          </w:p>
        </w:tc>
        <w:tc>
          <w:tcPr>
            <w:tcW w:w="1439" w:type="pct"/>
            <w:gridSpan w:val="3"/>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2017</w:t>
            </w:r>
          </w:p>
        </w:tc>
      </w:tr>
      <w:tr w:rsidR="00A77124" w:rsidRPr="002E596E" w:rsidTr="00801E34">
        <w:trPr>
          <w:trHeight w:val="255"/>
        </w:trPr>
        <w:tc>
          <w:tcPr>
            <w:tcW w:w="728" w:type="pct"/>
            <w:vMerge/>
            <w:tcBorders>
              <w:top w:val="single" w:sz="4" w:space="0" w:color="auto"/>
              <w:left w:val="single" w:sz="4" w:space="0" w:color="auto"/>
              <w:bottom w:val="single" w:sz="4" w:space="0" w:color="auto"/>
              <w:right w:val="single" w:sz="4" w:space="0" w:color="auto"/>
            </w:tcBorders>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p>
        </w:tc>
        <w:tc>
          <w:tcPr>
            <w:tcW w:w="473"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65 +</w:t>
            </w:r>
          </w:p>
        </w:tc>
        <w:tc>
          <w:tcPr>
            <w:tcW w:w="473"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65 +</w:t>
            </w:r>
          </w:p>
        </w:tc>
        <w:tc>
          <w:tcPr>
            <w:tcW w:w="481"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0 - 14</w:t>
            </w:r>
          </w:p>
        </w:tc>
        <w:tc>
          <w:tcPr>
            <w:tcW w:w="577"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15 - 64</w:t>
            </w:r>
          </w:p>
        </w:tc>
        <w:tc>
          <w:tcPr>
            <w:tcW w:w="381"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65 +</w:t>
            </w:r>
          </w:p>
        </w:tc>
      </w:tr>
      <w:tr w:rsidR="00A77124" w:rsidRPr="002E596E" w:rsidTr="00801E34">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Plavy</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201</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747</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128</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165</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720</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159</w:t>
            </w:r>
          </w:p>
        </w:tc>
        <w:tc>
          <w:tcPr>
            <w:tcW w:w="4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161</w:t>
            </w:r>
          </w:p>
        </w:tc>
        <w:tc>
          <w:tcPr>
            <w:tcW w:w="577"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661</w:t>
            </w:r>
          </w:p>
        </w:tc>
        <w:tc>
          <w:tcPr>
            <w:tcW w:w="3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214</w:t>
            </w:r>
          </w:p>
        </w:tc>
      </w:tr>
      <w:tr w:rsidR="00A77124" w:rsidRPr="002E596E" w:rsidTr="00801E34">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Muži</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97</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367</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51</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87</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378</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63</w:t>
            </w:r>
          </w:p>
        </w:tc>
        <w:tc>
          <w:tcPr>
            <w:tcW w:w="4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83</w:t>
            </w:r>
          </w:p>
        </w:tc>
        <w:tc>
          <w:tcPr>
            <w:tcW w:w="577"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352</w:t>
            </w:r>
          </w:p>
        </w:tc>
        <w:tc>
          <w:tcPr>
            <w:tcW w:w="3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92</w:t>
            </w:r>
          </w:p>
        </w:tc>
      </w:tr>
      <w:tr w:rsidR="00A77124" w:rsidRPr="002E596E" w:rsidTr="00801E34">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Ženy</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104</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380</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77</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78</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342</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96</w:t>
            </w:r>
          </w:p>
        </w:tc>
        <w:tc>
          <w:tcPr>
            <w:tcW w:w="4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78</w:t>
            </w:r>
          </w:p>
        </w:tc>
        <w:tc>
          <w:tcPr>
            <w:tcW w:w="577"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309</w:t>
            </w:r>
          </w:p>
        </w:tc>
        <w:tc>
          <w:tcPr>
            <w:tcW w:w="3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122</w:t>
            </w:r>
          </w:p>
        </w:tc>
      </w:tr>
      <w:tr w:rsidR="00A77124" w:rsidRPr="002E596E" w:rsidTr="00801E34">
        <w:trPr>
          <w:trHeight w:val="227"/>
        </w:trPr>
        <w:tc>
          <w:tcPr>
            <w:tcW w:w="728" w:type="pct"/>
            <w:tcBorders>
              <w:top w:val="nil"/>
              <w:left w:val="single" w:sz="4" w:space="0" w:color="auto"/>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Územní srovnání</w:t>
            </w:r>
          </w:p>
        </w:tc>
        <w:tc>
          <w:tcPr>
            <w:tcW w:w="473"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65 +</w:t>
            </w:r>
          </w:p>
        </w:tc>
        <w:tc>
          <w:tcPr>
            <w:tcW w:w="473"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0 - 14</w:t>
            </w:r>
          </w:p>
        </w:tc>
        <w:tc>
          <w:tcPr>
            <w:tcW w:w="568"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15 - 64</w:t>
            </w:r>
          </w:p>
        </w:tc>
        <w:tc>
          <w:tcPr>
            <w:tcW w:w="375"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65 +</w:t>
            </w:r>
          </w:p>
        </w:tc>
        <w:tc>
          <w:tcPr>
            <w:tcW w:w="481"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0 - 14</w:t>
            </w:r>
          </w:p>
        </w:tc>
        <w:tc>
          <w:tcPr>
            <w:tcW w:w="577"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15 - 64</w:t>
            </w:r>
          </w:p>
        </w:tc>
        <w:tc>
          <w:tcPr>
            <w:tcW w:w="381" w:type="pct"/>
            <w:tcBorders>
              <w:top w:val="nil"/>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65 +</w:t>
            </w:r>
          </w:p>
        </w:tc>
      </w:tr>
      <w:tr w:rsidR="00A77124" w:rsidRPr="002E596E" w:rsidTr="00801E34">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Plavy (%)</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18,7</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69,4</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11,9</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15,8</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69,0</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15,2</w:t>
            </w:r>
          </w:p>
        </w:tc>
        <w:tc>
          <w:tcPr>
            <w:tcW w:w="4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15,5</w:t>
            </w:r>
          </w:p>
        </w:tc>
        <w:tc>
          <w:tcPr>
            <w:tcW w:w="577"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63,8</w:t>
            </w:r>
          </w:p>
        </w:tc>
        <w:tc>
          <w:tcPr>
            <w:tcW w:w="3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20,7</w:t>
            </w:r>
          </w:p>
        </w:tc>
      </w:tr>
      <w:tr w:rsidR="00A77124" w:rsidRPr="002E596E" w:rsidTr="00801E34">
        <w:trPr>
          <w:trHeight w:val="227"/>
        </w:trPr>
        <w:tc>
          <w:tcPr>
            <w:tcW w:w="728"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SO ORP Tanvald (%)</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16,6</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71,1</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12,4</w:t>
            </w:r>
          </w:p>
        </w:tc>
        <w:tc>
          <w:tcPr>
            <w:tcW w:w="47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14,7</w:t>
            </w:r>
          </w:p>
        </w:tc>
        <w:tc>
          <w:tcPr>
            <w:tcW w:w="56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69,1</w:t>
            </w:r>
          </w:p>
        </w:tc>
        <w:tc>
          <w:tcPr>
            <w:tcW w:w="375"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16,2</w:t>
            </w:r>
          </w:p>
        </w:tc>
        <w:tc>
          <w:tcPr>
            <w:tcW w:w="4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14,6</w:t>
            </w:r>
          </w:p>
        </w:tc>
        <w:tc>
          <w:tcPr>
            <w:tcW w:w="577"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64,4</w:t>
            </w:r>
          </w:p>
        </w:tc>
        <w:tc>
          <w:tcPr>
            <w:tcW w:w="38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21,0</w:t>
            </w:r>
          </w:p>
        </w:tc>
      </w:tr>
    </w:tbl>
    <w:p w:rsidR="00A77124" w:rsidRPr="009201EF" w:rsidRDefault="00A77124" w:rsidP="00A77124">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droj: ČSÚ, vlastní zpracování</w:t>
      </w:r>
    </w:p>
    <w:p w:rsidR="00A77124" w:rsidRDefault="00A77124" w:rsidP="00A77124">
      <w:pPr>
        <w:spacing w:after="0" w:line="240" w:lineRule="auto"/>
        <w:jc w:val="both"/>
        <w:rPr>
          <w:rFonts w:ascii="Times New Roman" w:hAnsi="Times New Roman" w:cs="Times New Roman"/>
        </w:rPr>
      </w:pPr>
    </w:p>
    <w:p w:rsidR="00A77124" w:rsidRDefault="00A77124" w:rsidP="00A77124">
      <w:pPr>
        <w:spacing w:after="0"/>
        <w:jc w:val="both"/>
        <w:rPr>
          <w:rFonts w:ascii="Times New Roman" w:hAnsi="Times New Roman" w:cs="Times New Roman"/>
        </w:rPr>
      </w:pPr>
      <w:r>
        <w:rPr>
          <w:rFonts w:ascii="Times New Roman" w:hAnsi="Times New Roman" w:cs="Times New Roman"/>
        </w:rPr>
        <w:t>Z vývoje je patrné,</w:t>
      </w:r>
      <w:r w:rsidRPr="009201EF">
        <w:rPr>
          <w:rFonts w:ascii="Times New Roman" w:hAnsi="Times New Roman" w:cs="Times New Roman"/>
        </w:rPr>
        <w:t xml:space="preserve"> že </w:t>
      </w:r>
      <w:r>
        <w:rPr>
          <w:rFonts w:ascii="Times New Roman" w:hAnsi="Times New Roman" w:cs="Times New Roman"/>
        </w:rPr>
        <w:t>obec vykazuje negativní vývoj primárně ve věkových skupinách produktivního a poproduktivního obyvatelstva. Vývoj v obci je trendově srovnatelný s územím SO ORP Tanvald. Předproduktivní složka obyvatel (0-14) vykazuje poměrovou stabilizaci, nicméně v absolutním vyjádření klesla z hodnot roku 2001 – 201 dětí na 161 dětí v roce 2017 (pokles o 20%). Pokles skupiny do 14 let doprovází nárůst poproduktivního obyvatelstva tj. nad 65 let, který zaznamenal oproti roku 2001 nárůst ze 128 obyvatel na 214 (nárůst o 43%). Vývoj počtu produktivního obyvatelstva reprezentuje klesající trend, kdy přesun obyvatel skupiny 0-14 let nestačí dorovnávat přesuny silných poválečných ročníků do skupiny 65+. Změna mezi roky 2001 a 2017 dosahuje poklesu o 12%.</w:t>
      </w:r>
    </w:p>
    <w:p w:rsidR="00A77124" w:rsidRDefault="00A77124" w:rsidP="00A77124">
      <w:pPr>
        <w:spacing w:after="0"/>
        <w:jc w:val="both"/>
        <w:rPr>
          <w:rFonts w:ascii="Times New Roman" w:hAnsi="Times New Roman" w:cs="Times New Roman"/>
        </w:rPr>
      </w:pPr>
    </w:p>
    <w:p w:rsidR="00A77124" w:rsidRPr="00F71502" w:rsidRDefault="00A77124" w:rsidP="00A77124">
      <w:pPr>
        <w:spacing w:after="0"/>
        <w:jc w:val="both"/>
        <w:rPr>
          <w:rFonts w:ascii="Times New Roman" w:hAnsi="Times New Roman" w:cs="Times New Roman"/>
        </w:rPr>
      </w:pPr>
      <w:r>
        <w:rPr>
          <w:rFonts w:ascii="Times New Roman" w:hAnsi="Times New Roman" w:cs="Times New Roman"/>
        </w:rPr>
        <w:t xml:space="preserve">Vývoj poměrové složení obyvatelstva v ekonomických věkových skupinách zobrazuje následující graf, ze kterého lze vyčíst přesuny obyvatel mezi skupinami, a to primárně ve prospěch poproduktivního obyvatelstva.   </w:t>
      </w:r>
    </w:p>
    <w:p w:rsidR="00A77124" w:rsidRDefault="00A77124" w:rsidP="00A77124">
      <w:pPr>
        <w:spacing w:after="0" w:line="240" w:lineRule="auto"/>
        <w:rPr>
          <w:rFonts w:ascii="Times New Roman" w:hAnsi="Times New Roman" w:cs="Times New Roman"/>
          <w:sz w:val="18"/>
        </w:rPr>
      </w:pPr>
    </w:p>
    <w:p w:rsidR="00A77124" w:rsidRDefault="00A77124" w:rsidP="00A77124">
      <w:pPr>
        <w:spacing w:after="0" w:line="240" w:lineRule="auto"/>
        <w:rPr>
          <w:rFonts w:ascii="Times New Roman" w:hAnsi="Times New Roman" w:cs="Times New Roman"/>
          <w:sz w:val="18"/>
        </w:rPr>
      </w:pP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 xml:space="preserve">Graf: </w:t>
      </w:r>
      <w:r w:rsidRPr="009201EF">
        <w:rPr>
          <w:rFonts w:ascii="Times New Roman" w:hAnsi="Times New Roman" w:cs="Times New Roman"/>
          <w:sz w:val="18"/>
        </w:rPr>
        <w:t>Vývoj zá</w:t>
      </w:r>
      <w:r>
        <w:rPr>
          <w:rFonts w:ascii="Times New Roman" w:hAnsi="Times New Roman" w:cs="Times New Roman"/>
          <w:sz w:val="18"/>
        </w:rPr>
        <w:t>kladních věkových skupin</w:t>
      </w:r>
      <w:r w:rsidRPr="009201EF">
        <w:rPr>
          <w:rFonts w:ascii="Times New Roman" w:hAnsi="Times New Roman" w:cs="Times New Roman"/>
          <w:sz w:val="18"/>
        </w:rPr>
        <w:t xml:space="preserve"> v letech 2001</w:t>
      </w:r>
      <w:r>
        <w:rPr>
          <w:rFonts w:ascii="Times New Roman" w:hAnsi="Times New Roman" w:cs="Times New Roman"/>
          <w:sz w:val="18"/>
        </w:rPr>
        <w:t>, 2011, 2017</w:t>
      </w:r>
      <w:r w:rsidRPr="009201EF">
        <w:rPr>
          <w:rFonts w:ascii="Times New Roman" w:hAnsi="Times New Roman" w:cs="Times New Roman"/>
          <w:sz w:val="18"/>
        </w:rPr>
        <w:t xml:space="preserve"> </w:t>
      </w:r>
    </w:p>
    <w:p w:rsidR="00A77124" w:rsidRPr="009201EF" w:rsidRDefault="00A77124" w:rsidP="00A77124">
      <w:pPr>
        <w:spacing w:after="0" w:line="240" w:lineRule="auto"/>
        <w:rPr>
          <w:rFonts w:ascii="Times New Roman" w:hAnsi="Times New Roman" w:cs="Times New Roman"/>
        </w:rPr>
      </w:pPr>
      <w:r>
        <w:rPr>
          <w:noProof/>
          <w:lang w:eastAsia="cs-CZ"/>
        </w:rPr>
        <w:drawing>
          <wp:inline distT="0" distB="0" distL="0" distR="0" wp14:anchorId="544A549F" wp14:editId="429D3918">
            <wp:extent cx="5762625" cy="2314575"/>
            <wp:effectExtent l="76200" t="57150" r="66675" b="857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7124" w:rsidRPr="00277491" w:rsidRDefault="00A77124" w:rsidP="00A77124">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A77124" w:rsidRDefault="00A77124" w:rsidP="00A77124">
      <w:pPr>
        <w:jc w:val="both"/>
        <w:rPr>
          <w:rFonts w:ascii="Times New Roman" w:hAnsi="Times New Roman" w:cs="Times New Roman"/>
        </w:rPr>
      </w:pPr>
    </w:p>
    <w:p w:rsidR="00A77124" w:rsidRDefault="00A77124" w:rsidP="00A77124">
      <w:pPr>
        <w:jc w:val="both"/>
        <w:rPr>
          <w:rFonts w:ascii="Times New Roman" w:hAnsi="Times New Roman" w:cs="Times New Roman"/>
        </w:rPr>
      </w:pPr>
      <w:r w:rsidRPr="009201EF">
        <w:rPr>
          <w:rFonts w:ascii="Times New Roman" w:hAnsi="Times New Roman" w:cs="Times New Roman"/>
        </w:rPr>
        <w:lastRenderedPageBreak/>
        <w:t>P</w:t>
      </w:r>
      <w:r>
        <w:rPr>
          <w:rFonts w:ascii="Times New Roman" w:hAnsi="Times New Roman" w:cs="Times New Roman"/>
        </w:rPr>
        <w:t>ro rozvojové účely</w:t>
      </w:r>
      <w:r w:rsidRPr="009201EF">
        <w:rPr>
          <w:rFonts w:ascii="Times New Roman" w:hAnsi="Times New Roman" w:cs="Times New Roman"/>
        </w:rPr>
        <w:t xml:space="preserve"> je nezbytné analyzovat detailněji věkové skupiny, a to vzhledem k možnosti předvídat potřeby obyvatelstva. </w:t>
      </w:r>
    </w:p>
    <w:p w:rsidR="00A77124" w:rsidRDefault="00A77124" w:rsidP="00A77124">
      <w:pPr>
        <w:spacing w:after="0" w:line="240" w:lineRule="auto"/>
        <w:rPr>
          <w:rFonts w:ascii="Times New Roman" w:hAnsi="Times New Roman" w:cs="Times New Roman"/>
          <w:sz w:val="18"/>
        </w:rPr>
      </w:pP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Graf: Obyvatelé v pětiletých věkových skupinách celkem a dle pohlaví k 31. 12. 2017</w:t>
      </w:r>
    </w:p>
    <w:p w:rsidR="00A77124" w:rsidRPr="009201EF" w:rsidRDefault="00A77124" w:rsidP="00A77124">
      <w:pPr>
        <w:spacing w:after="0" w:line="240" w:lineRule="auto"/>
        <w:rPr>
          <w:rFonts w:ascii="Times New Roman" w:hAnsi="Times New Roman" w:cs="Times New Roman"/>
        </w:rPr>
      </w:pPr>
      <w:r>
        <w:rPr>
          <w:noProof/>
          <w:lang w:eastAsia="cs-CZ"/>
        </w:rPr>
        <w:drawing>
          <wp:inline distT="0" distB="0" distL="0" distR="0" wp14:anchorId="24A425B0" wp14:editId="48468DDB">
            <wp:extent cx="5762625" cy="3914775"/>
            <wp:effectExtent l="76200" t="57150" r="66675" b="8572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7124" w:rsidRPr="009201EF" w:rsidRDefault="00A77124" w:rsidP="00A77124">
      <w:pPr>
        <w:spacing w:line="240" w:lineRule="auto"/>
        <w:rPr>
          <w:rFonts w:ascii="Times New Roman" w:hAnsi="Times New Roman" w:cs="Times New Roman"/>
          <w:sz w:val="18"/>
        </w:rPr>
      </w:pPr>
      <w:r w:rsidRPr="009201EF">
        <w:rPr>
          <w:rFonts w:ascii="Times New Roman" w:hAnsi="Times New Roman" w:cs="Times New Roman"/>
          <w:sz w:val="18"/>
        </w:rPr>
        <w:t>Zdroj: ČSÚ, vlastní zpracování</w:t>
      </w:r>
    </w:p>
    <w:p w:rsidR="00A77124" w:rsidRDefault="00A77124" w:rsidP="00A77124">
      <w:pPr>
        <w:jc w:val="both"/>
        <w:rPr>
          <w:rFonts w:ascii="Times New Roman" w:hAnsi="Times New Roman" w:cs="Times New Roman"/>
        </w:rPr>
      </w:pPr>
    </w:p>
    <w:p w:rsidR="00A77124" w:rsidRDefault="00A77124" w:rsidP="00A77124">
      <w:pPr>
        <w:jc w:val="both"/>
        <w:rPr>
          <w:rFonts w:ascii="Times New Roman" w:hAnsi="Times New Roman" w:cs="Times New Roman"/>
        </w:rPr>
      </w:pPr>
      <w:r>
        <w:rPr>
          <w:rFonts w:ascii="Times New Roman" w:hAnsi="Times New Roman" w:cs="Times New Roman"/>
        </w:rPr>
        <w:t xml:space="preserve">Obsazení jednotlivých věkových skupin odpovídá negativnímu vývoji vnitřní struktury obyvatel. Ze struktury obyvatelstva lze vyčíst dvě základní vývojové charakteristiky. Nejmladší věkové skupiny jsou stabilně obsazeny vyrovnaným počtem obyvatel, ale jejich celková obsazenost je cca na 2/3 starších generací. Výkyvy v obsazenosti věkových skupin ročníků sedmdesátých let a povalečných ročníků vykazují v rámci zastoupení věkových skupin výrazné skoky. Tyto demografické vlny mají silný vliv na rozsah zajištění potřeb této skupiny obyvatelstva v pozdějším věku (zdravotnictví, sociální služby, bydlení apod.). Již ze současné věkové struktury je patrné, že obyvatelé ve věkových skupinách nad 70 let jsou zastoupeny 132 obyvateli (13%). V následujících letech bude tato skupina posílena mladšími ročníky a zároveň bude působit demografický jev prodlužování délky života v populaci obecně.  </w:t>
      </w:r>
    </w:p>
    <w:p w:rsidR="00A77124" w:rsidRDefault="00A77124" w:rsidP="00A77124">
      <w:pPr>
        <w:jc w:val="both"/>
        <w:rPr>
          <w:rFonts w:ascii="Times New Roman" w:hAnsi="Times New Roman" w:cs="Times New Roman"/>
        </w:rPr>
      </w:pPr>
      <w:r>
        <w:rPr>
          <w:rFonts w:ascii="Times New Roman" w:hAnsi="Times New Roman" w:cs="Times New Roman"/>
        </w:rPr>
        <w:t>Věková struktura obyvatel za 20 let bude charakterizována poměrně silným zastoupením obyvatel ve věkových skupinách 65 a více let s relativně největším nárůstem věkových skupin nad 75 let. Věkové kategorie obyvatel do 14 let se budou pohybovat na dlouhodobě ustálených hodnotách (uvažováno bez silné migrační vlny). Počet obyvatel v produktivním věku bude průběžně klesat na cca 2/3 hodnot současného stavu.</w:t>
      </w:r>
    </w:p>
    <w:p w:rsidR="00A77124" w:rsidRDefault="00A77124" w:rsidP="00A77124">
      <w:pPr>
        <w:jc w:val="both"/>
        <w:rPr>
          <w:rFonts w:ascii="Times New Roman" w:hAnsi="Times New Roman" w:cs="Times New Roman"/>
        </w:rPr>
      </w:pPr>
      <w:r>
        <w:rPr>
          <w:rFonts w:ascii="Times New Roman" w:hAnsi="Times New Roman" w:cs="Times New Roman"/>
        </w:rPr>
        <w:t xml:space="preserve"> </w:t>
      </w:r>
    </w:p>
    <w:p w:rsidR="00A77124" w:rsidRPr="009201EF" w:rsidRDefault="00A77124" w:rsidP="00A77124">
      <w:pPr>
        <w:jc w:val="both"/>
        <w:rPr>
          <w:rFonts w:ascii="Times New Roman" w:hAnsi="Times New Roman" w:cs="Times New Roman"/>
        </w:rPr>
      </w:pPr>
    </w:p>
    <w:p w:rsidR="00A77124" w:rsidRPr="00E60A4D" w:rsidRDefault="00A77124" w:rsidP="00A77124">
      <w:pPr>
        <w:jc w:val="both"/>
        <w:rPr>
          <w:rFonts w:ascii="Times New Roman" w:hAnsi="Times New Roman" w:cs="Times New Roman"/>
          <w:b/>
          <w:color w:val="17365D" w:themeColor="text2" w:themeShade="BF"/>
          <w:u w:val="single"/>
        </w:rPr>
      </w:pPr>
      <w:r w:rsidRPr="00E60A4D">
        <w:rPr>
          <w:rFonts w:ascii="Times New Roman" w:hAnsi="Times New Roman" w:cs="Times New Roman"/>
          <w:b/>
          <w:color w:val="17365D" w:themeColor="text2" w:themeShade="BF"/>
          <w:u w:val="single"/>
        </w:rPr>
        <w:lastRenderedPageBreak/>
        <w:t>Vzdělanostní struktura</w:t>
      </w:r>
    </w:p>
    <w:p w:rsidR="00A77124" w:rsidRPr="00DE3CDC" w:rsidRDefault="00A77124" w:rsidP="00A77124">
      <w:pPr>
        <w:jc w:val="both"/>
        <w:rPr>
          <w:rFonts w:ascii="Times New Roman" w:hAnsi="Times New Roman" w:cs="Times New Roman"/>
        </w:rPr>
      </w:pPr>
      <w:r>
        <w:rPr>
          <w:rFonts w:ascii="Times New Roman" w:hAnsi="Times New Roman" w:cs="Times New Roman"/>
        </w:rPr>
        <w:t>Do vzdělanostní struktury obyvatelstva jsou započítáni obyvatelé starší 15 let.</w:t>
      </w: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Tabulka:</w:t>
      </w:r>
      <w:r w:rsidRPr="009201EF">
        <w:rPr>
          <w:rFonts w:ascii="Times New Roman" w:hAnsi="Times New Roman" w:cs="Times New Roman"/>
          <w:sz w:val="18"/>
        </w:rPr>
        <w:t xml:space="preserve"> Struktura obyvatel podle nejvyššího dokončeného </w:t>
      </w:r>
      <w:r>
        <w:rPr>
          <w:rFonts w:ascii="Times New Roman" w:hAnsi="Times New Roman" w:cs="Times New Roman"/>
          <w:sz w:val="18"/>
        </w:rPr>
        <w:t>stupně vzdělání v % v roce 2011</w:t>
      </w:r>
    </w:p>
    <w:tbl>
      <w:tblPr>
        <w:tblW w:w="5000" w:type="pct"/>
        <w:tblCellMar>
          <w:left w:w="70" w:type="dxa"/>
          <w:right w:w="70" w:type="dxa"/>
        </w:tblCellMar>
        <w:tblLook w:val="04A0" w:firstRow="1" w:lastRow="0" w:firstColumn="1" w:lastColumn="0" w:noHBand="0" w:noVBand="1"/>
      </w:tblPr>
      <w:tblGrid>
        <w:gridCol w:w="1897"/>
        <w:gridCol w:w="1687"/>
        <w:gridCol w:w="1267"/>
        <w:gridCol w:w="1345"/>
        <w:gridCol w:w="1673"/>
        <w:gridCol w:w="1193"/>
      </w:tblGrid>
      <w:tr w:rsidR="00A77124" w:rsidRPr="002E596E" w:rsidTr="00801E34">
        <w:trPr>
          <w:trHeight w:val="465"/>
        </w:trPr>
        <w:tc>
          <w:tcPr>
            <w:tcW w:w="1046"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území</w:t>
            </w:r>
          </w:p>
        </w:tc>
        <w:tc>
          <w:tcPr>
            <w:tcW w:w="931"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základní vč. neukončeného</w:t>
            </w:r>
          </w:p>
        </w:tc>
        <w:tc>
          <w:tcPr>
            <w:tcW w:w="699"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střední vč. vyučení (bez maturity)</w:t>
            </w:r>
          </w:p>
        </w:tc>
        <w:tc>
          <w:tcPr>
            <w:tcW w:w="742"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úplné střední (s maturitou) a vyšší odborné</w:t>
            </w:r>
          </w:p>
        </w:tc>
        <w:tc>
          <w:tcPr>
            <w:tcW w:w="923"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vysokoškolské</w:t>
            </w:r>
          </w:p>
        </w:tc>
        <w:tc>
          <w:tcPr>
            <w:tcW w:w="658"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bez vzdělání</w:t>
            </w:r>
          </w:p>
        </w:tc>
      </w:tr>
      <w:tr w:rsidR="00A77124" w:rsidRPr="002E596E" w:rsidTr="00801E34">
        <w:trPr>
          <w:trHeight w:val="227"/>
        </w:trPr>
        <w:tc>
          <w:tcPr>
            <w:tcW w:w="10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Plavy</w:t>
            </w:r>
          </w:p>
        </w:tc>
        <w:tc>
          <w:tcPr>
            <w:tcW w:w="931"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25,1</w:t>
            </w:r>
          </w:p>
        </w:tc>
        <w:tc>
          <w:tcPr>
            <w:tcW w:w="699"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44,3</w:t>
            </w:r>
          </w:p>
        </w:tc>
        <w:tc>
          <w:tcPr>
            <w:tcW w:w="742"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26,0</w:t>
            </w:r>
          </w:p>
        </w:tc>
        <w:tc>
          <w:tcPr>
            <w:tcW w:w="923"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4,1</w:t>
            </w:r>
          </w:p>
        </w:tc>
        <w:tc>
          <w:tcPr>
            <w:tcW w:w="658"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0,5</w:t>
            </w:r>
          </w:p>
        </w:tc>
      </w:tr>
      <w:tr w:rsidR="00A77124" w:rsidRPr="002E596E" w:rsidTr="00801E34">
        <w:trPr>
          <w:trHeight w:val="227"/>
        </w:trPr>
        <w:tc>
          <w:tcPr>
            <w:tcW w:w="104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SO ORP Tanvald</w:t>
            </w:r>
          </w:p>
        </w:tc>
        <w:tc>
          <w:tcPr>
            <w:tcW w:w="93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23,9</w:t>
            </w:r>
          </w:p>
        </w:tc>
        <w:tc>
          <w:tcPr>
            <w:tcW w:w="699"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41,2</w:t>
            </w:r>
          </w:p>
        </w:tc>
        <w:tc>
          <w:tcPr>
            <w:tcW w:w="742"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27,6</w:t>
            </w:r>
          </w:p>
        </w:tc>
        <w:tc>
          <w:tcPr>
            <w:tcW w:w="923"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6,7</w:t>
            </w:r>
          </w:p>
        </w:tc>
        <w:tc>
          <w:tcPr>
            <w:tcW w:w="65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0,6</w:t>
            </w:r>
          </w:p>
        </w:tc>
      </w:tr>
    </w:tbl>
    <w:p w:rsidR="00A77124" w:rsidRPr="00C92C1C" w:rsidRDefault="00A77124" w:rsidP="00A77124">
      <w:pPr>
        <w:spacing w:line="240" w:lineRule="auto"/>
        <w:rPr>
          <w:rFonts w:ascii="Times New Roman" w:hAnsi="Times New Roman" w:cs="Times New Roman"/>
          <w:sz w:val="18"/>
        </w:rPr>
      </w:pPr>
      <w:r>
        <w:rPr>
          <w:rFonts w:ascii="Times New Roman" w:hAnsi="Times New Roman" w:cs="Times New Roman"/>
          <w:sz w:val="18"/>
        </w:rPr>
        <w:t>Z</w:t>
      </w:r>
      <w:r w:rsidRPr="009201EF">
        <w:rPr>
          <w:rFonts w:ascii="Times New Roman" w:hAnsi="Times New Roman" w:cs="Times New Roman"/>
          <w:sz w:val="18"/>
        </w:rPr>
        <w:t xml:space="preserve">droj: ČSÚ </w:t>
      </w:r>
      <w:r>
        <w:rPr>
          <w:rFonts w:ascii="Times New Roman" w:hAnsi="Times New Roman" w:cs="Times New Roman"/>
          <w:sz w:val="18"/>
        </w:rPr>
        <w:t>– SLDB 2011, vlastní zpracování</w:t>
      </w:r>
    </w:p>
    <w:p w:rsidR="00A77124" w:rsidRDefault="00A77124" w:rsidP="00A77124">
      <w:pPr>
        <w:jc w:val="both"/>
        <w:rPr>
          <w:rFonts w:ascii="Times New Roman" w:hAnsi="Times New Roman" w:cs="Times New Roman"/>
        </w:rPr>
      </w:pPr>
      <w:r>
        <w:rPr>
          <w:rFonts w:ascii="Times New Roman" w:hAnsi="Times New Roman" w:cs="Times New Roman"/>
        </w:rPr>
        <w:t>Obec dosahuje</w:t>
      </w:r>
      <w:r w:rsidRPr="009201EF">
        <w:rPr>
          <w:rFonts w:ascii="Times New Roman" w:hAnsi="Times New Roman" w:cs="Times New Roman"/>
        </w:rPr>
        <w:t xml:space="preserve"> ve srovnání s širším územím ve vzdělanostní stru</w:t>
      </w:r>
      <w:r>
        <w:rPr>
          <w:rFonts w:ascii="Times New Roman" w:hAnsi="Times New Roman" w:cs="Times New Roman"/>
        </w:rPr>
        <w:t>ktuře obyvatelstva srovnatelných</w:t>
      </w:r>
      <w:r w:rsidRPr="009201EF">
        <w:rPr>
          <w:rFonts w:ascii="Times New Roman" w:hAnsi="Times New Roman" w:cs="Times New Roman"/>
        </w:rPr>
        <w:t xml:space="preserve"> hodnot. Za problematické zde lze označit obyvatele, kteří dosahují jen základního vzdělání, a to v souvislostech s trhem práce a nízké flexibilitě při změnách vývoje na trhu práce. Nejvíce je zde zastoupena skupina obyvatel, která dokon</w:t>
      </w:r>
      <w:r>
        <w:rPr>
          <w:rFonts w:ascii="Times New Roman" w:hAnsi="Times New Roman" w:cs="Times New Roman"/>
        </w:rPr>
        <w:t>čila vzdělání střední bez maturity</w:t>
      </w:r>
      <w:r w:rsidRPr="009201EF">
        <w:rPr>
          <w:rFonts w:ascii="Times New Roman" w:hAnsi="Times New Roman" w:cs="Times New Roman"/>
        </w:rPr>
        <w:t>.</w:t>
      </w:r>
      <w:r>
        <w:rPr>
          <w:rFonts w:ascii="Times New Roman" w:hAnsi="Times New Roman" w:cs="Times New Roman"/>
        </w:rPr>
        <w:t xml:space="preserve"> </w:t>
      </w:r>
    </w:p>
    <w:p w:rsidR="00A77124" w:rsidRPr="00052997" w:rsidRDefault="00A77124" w:rsidP="00A77124">
      <w:pPr>
        <w:spacing w:after="0" w:line="240" w:lineRule="auto"/>
        <w:rPr>
          <w:rFonts w:ascii="Times New Roman" w:hAnsi="Times New Roman" w:cs="Times New Roman"/>
          <w:sz w:val="18"/>
        </w:rPr>
      </w:pPr>
      <w:r>
        <w:rPr>
          <w:rFonts w:ascii="Times New Roman" w:hAnsi="Times New Roman" w:cs="Times New Roman"/>
          <w:sz w:val="18"/>
        </w:rPr>
        <w:t xml:space="preserve">Tabulka: </w:t>
      </w:r>
      <w:r w:rsidRPr="009201EF">
        <w:rPr>
          <w:rFonts w:ascii="Times New Roman" w:hAnsi="Times New Roman" w:cs="Times New Roman"/>
          <w:sz w:val="18"/>
        </w:rPr>
        <w:t xml:space="preserve">Struktura obyvatel podle nejvyššího dokončeného stupně </w:t>
      </w:r>
      <w:r>
        <w:rPr>
          <w:rFonts w:ascii="Times New Roman" w:hAnsi="Times New Roman" w:cs="Times New Roman"/>
          <w:sz w:val="18"/>
        </w:rPr>
        <w:t>vzdělání a pohlaví absolutně v roce 2011</w:t>
      </w:r>
    </w:p>
    <w:tbl>
      <w:tblPr>
        <w:tblW w:w="5000" w:type="pct"/>
        <w:tblCellMar>
          <w:left w:w="70" w:type="dxa"/>
          <w:right w:w="70" w:type="dxa"/>
        </w:tblCellMar>
        <w:tblLook w:val="04A0" w:firstRow="1" w:lastRow="0" w:firstColumn="1" w:lastColumn="0" w:noHBand="0" w:noVBand="1"/>
      </w:tblPr>
      <w:tblGrid>
        <w:gridCol w:w="985"/>
        <w:gridCol w:w="1441"/>
        <w:gridCol w:w="1302"/>
        <w:gridCol w:w="1306"/>
        <w:gridCol w:w="1431"/>
        <w:gridCol w:w="1300"/>
        <w:gridCol w:w="1297"/>
      </w:tblGrid>
      <w:tr w:rsidR="00A77124" w:rsidRPr="002E596E" w:rsidTr="00801E34">
        <w:trPr>
          <w:trHeight w:val="1020"/>
        </w:trPr>
        <w:tc>
          <w:tcPr>
            <w:tcW w:w="540"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území</w:t>
            </w:r>
          </w:p>
        </w:tc>
        <w:tc>
          <w:tcPr>
            <w:tcW w:w="796"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základní vč. neukončeného</w:t>
            </w:r>
          </w:p>
        </w:tc>
        <w:tc>
          <w:tcPr>
            <w:tcW w:w="719"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střední vč. vyučení (bez maturity)</w:t>
            </w:r>
          </w:p>
        </w:tc>
        <w:tc>
          <w:tcPr>
            <w:tcW w:w="721"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úplné střední (s maturitou) a vyšší odborné</w:t>
            </w:r>
          </w:p>
        </w:tc>
        <w:tc>
          <w:tcPr>
            <w:tcW w:w="790" w:type="pct"/>
            <w:tcBorders>
              <w:top w:val="single" w:sz="4" w:space="0" w:color="auto"/>
              <w:left w:val="nil"/>
              <w:bottom w:val="single" w:sz="4" w:space="0" w:color="auto"/>
              <w:right w:val="single" w:sz="4" w:space="0" w:color="auto"/>
            </w:tcBorders>
            <w:shd w:val="clear" w:color="000000" w:fill="1F497D"/>
            <w:noWrap/>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vysokoškolské</w:t>
            </w:r>
          </w:p>
        </w:tc>
        <w:tc>
          <w:tcPr>
            <w:tcW w:w="718"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bez vzdělání</w:t>
            </w:r>
          </w:p>
        </w:tc>
        <w:tc>
          <w:tcPr>
            <w:tcW w:w="716" w:type="pct"/>
            <w:tcBorders>
              <w:top w:val="single" w:sz="4" w:space="0" w:color="auto"/>
              <w:left w:val="nil"/>
              <w:bottom w:val="single" w:sz="4" w:space="0" w:color="auto"/>
              <w:right w:val="single" w:sz="4" w:space="0" w:color="auto"/>
            </w:tcBorders>
            <w:shd w:val="clear" w:color="000000" w:fill="1F497D"/>
            <w:vAlign w:val="center"/>
            <w:hideMark/>
          </w:tcPr>
          <w:p w:rsidR="00A77124" w:rsidRPr="002E596E" w:rsidRDefault="00A77124" w:rsidP="00801E34">
            <w:pPr>
              <w:spacing w:after="0" w:line="240" w:lineRule="auto"/>
              <w:jc w:val="center"/>
              <w:rPr>
                <w:rFonts w:ascii="Times New Roman" w:eastAsia="Times New Roman" w:hAnsi="Times New Roman" w:cs="Times New Roman"/>
                <w:b/>
                <w:bCs/>
                <w:color w:val="FFFFFF"/>
                <w:sz w:val="20"/>
                <w:szCs w:val="20"/>
                <w:lang w:eastAsia="cs-CZ"/>
              </w:rPr>
            </w:pPr>
            <w:r w:rsidRPr="002E596E">
              <w:rPr>
                <w:rFonts w:ascii="Times New Roman" w:eastAsia="Times New Roman" w:hAnsi="Times New Roman" w:cs="Times New Roman"/>
                <w:b/>
                <w:bCs/>
                <w:color w:val="FFFFFF"/>
                <w:sz w:val="20"/>
                <w:szCs w:val="20"/>
                <w:lang w:eastAsia="cs-CZ"/>
              </w:rPr>
              <w:t>celkem</w:t>
            </w:r>
          </w:p>
        </w:tc>
      </w:tr>
      <w:tr w:rsidR="00A77124" w:rsidRPr="002E596E" w:rsidTr="00801E34">
        <w:trPr>
          <w:trHeight w:val="227"/>
        </w:trPr>
        <w:tc>
          <w:tcPr>
            <w:tcW w:w="540"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Plavy</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206</w:t>
            </w:r>
          </w:p>
        </w:tc>
        <w:tc>
          <w:tcPr>
            <w:tcW w:w="719"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363</w:t>
            </w:r>
          </w:p>
        </w:tc>
        <w:tc>
          <w:tcPr>
            <w:tcW w:w="721"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213</w:t>
            </w:r>
          </w:p>
        </w:tc>
        <w:tc>
          <w:tcPr>
            <w:tcW w:w="790"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34</w:t>
            </w:r>
          </w:p>
        </w:tc>
        <w:tc>
          <w:tcPr>
            <w:tcW w:w="718" w:type="pct"/>
            <w:tcBorders>
              <w:top w:val="single" w:sz="4" w:space="0" w:color="auto"/>
              <w:left w:val="nil"/>
              <w:bottom w:val="single" w:sz="4" w:space="0" w:color="auto"/>
              <w:right w:val="single" w:sz="4" w:space="0" w:color="auto"/>
            </w:tcBorders>
            <w:shd w:val="clear" w:color="auto" w:fill="auto"/>
            <w:vAlign w:val="center"/>
            <w:hideMark/>
          </w:tcPr>
          <w:p w:rsidR="00A77124" w:rsidRPr="002E596E" w:rsidRDefault="00A77124" w:rsidP="00801E34">
            <w:pPr>
              <w:spacing w:after="0" w:line="240" w:lineRule="auto"/>
              <w:jc w:val="center"/>
              <w:rPr>
                <w:rFonts w:ascii="Arial" w:eastAsia="Times New Roman" w:hAnsi="Arial" w:cs="Arial"/>
                <w:sz w:val="20"/>
                <w:szCs w:val="20"/>
                <w:lang w:eastAsia="cs-CZ"/>
              </w:rPr>
            </w:pPr>
            <w:r w:rsidRPr="002E596E">
              <w:rPr>
                <w:rFonts w:ascii="Arial" w:eastAsia="Times New Roman" w:hAnsi="Arial" w:cs="Arial"/>
                <w:sz w:val="20"/>
                <w:szCs w:val="20"/>
                <w:lang w:eastAsia="cs-CZ"/>
              </w:rPr>
              <w:t>4</w:t>
            </w:r>
          </w:p>
        </w:tc>
        <w:tc>
          <w:tcPr>
            <w:tcW w:w="716" w:type="pct"/>
            <w:tcBorders>
              <w:top w:val="single" w:sz="4" w:space="0" w:color="auto"/>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820</w:t>
            </w:r>
          </w:p>
        </w:tc>
      </w:tr>
      <w:tr w:rsidR="00A77124" w:rsidRPr="002E596E" w:rsidTr="00801E34">
        <w:trPr>
          <w:trHeight w:val="227"/>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Muži</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84</w:t>
            </w:r>
          </w:p>
        </w:tc>
        <w:tc>
          <w:tcPr>
            <w:tcW w:w="719"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213</w:t>
            </w:r>
          </w:p>
        </w:tc>
        <w:tc>
          <w:tcPr>
            <w:tcW w:w="72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89</w:t>
            </w:r>
          </w:p>
        </w:tc>
        <w:tc>
          <w:tcPr>
            <w:tcW w:w="790"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13</w:t>
            </w:r>
          </w:p>
        </w:tc>
        <w:tc>
          <w:tcPr>
            <w:tcW w:w="71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w:t>
            </w:r>
          </w:p>
        </w:tc>
        <w:tc>
          <w:tcPr>
            <w:tcW w:w="71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400</w:t>
            </w:r>
          </w:p>
        </w:tc>
      </w:tr>
      <w:tr w:rsidR="00A77124" w:rsidRPr="002E596E" w:rsidTr="00801E34">
        <w:trPr>
          <w:trHeight w:val="227"/>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Ženy</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122</w:t>
            </w:r>
          </w:p>
        </w:tc>
        <w:tc>
          <w:tcPr>
            <w:tcW w:w="719"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150</w:t>
            </w:r>
          </w:p>
        </w:tc>
        <w:tc>
          <w:tcPr>
            <w:tcW w:w="72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124</w:t>
            </w:r>
          </w:p>
        </w:tc>
        <w:tc>
          <w:tcPr>
            <w:tcW w:w="790"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w:t>
            </w:r>
          </w:p>
        </w:tc>
        <w:tc>
          <w:tcPr>
            <w:tcW w:w="71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w:t>
            </w:r>
          </w:p>
        </w:tc>
        <w:tc>
          <w:tcPr>
            <w:tcW w:w="71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420</w:t>
            </w:r>
          </w:p>
        </w:tc>
      </w:tr>
      <w:tr w:rsidR="00A77124" w:rsidRPr="002E596E" w:rsidTr="00801E34">
        <w:trPr>
          <w:trHeight w:val="227"/>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Muži v %</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21,0</w:t>
            </w:r>
          </w:p>
        </w:tc>
        <w:tc>
          <w:tcPr>
            <w:tcW w:w="719"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53,3</w:t>
            </w:r>
          </w:p>
        </w:tc>
        <w:tc>
          <w:tcPr>
            <w:tcW w:w="72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22,3</w:t>
            </w:r>
          </w:p>
        </w:tc>
        <w:tc>
          <w:tcPr>
            <w:tcW w:w="790"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3,3</w:t>
            </w:r>
          </w:p>
        </w:tc>
        <w:tc>
          <w:tcPr>
            <w:tcW w:w="71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0,3</w:t>
            </w:r>
          </w:p>
        </w:tc>
        <w:tc>
          <w:tcPr>
            <w:tcW w:w="71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proofErr w:type="spellStart"/>
            <w:r w:rsidRPr="002E596E">
              <w:rPr>
                <w:rFonts w:ascii="Times New Roman" w:eastAsia="Times New Roman" w:hAnsi="Times New Roman" w:cs="Times New Roman"/>
                <w:color w:val="000000"/>
                <w:sz w:val="20"/>
                <w:szCs w:val="20"/>
                <w:lang w:eastAsia="cs-CZ"/>
              </w:rPr>
              <w:t>xx</w:t>
            </w:r>
            <w:proofErr w:type="spellEnd"/>
          </w:p>
        </w:tc>
      </w:tr>
      <w:tr w:rsidR="00A77124" w:rsidRPr="002E596E" w:rsidTr="00801E34">
        <w:trPr>
          <w:trHeight w:val="227"/>
        </w:trPr>
        <w:tc>
          <w:tcPr>
            <w:tcW w:w="540" w:type="pct"/>
            <w:tcBorders>
              <w:top w:val="nil"/>
              <w:left w:val="single" w:sz="4" w:space="0" w:color="auto"/>
              <w:bottom w:val="single" w:sz="4" w:space="0" w:color="auto"/>
              <w:right w:val="single" w:sz="4" w:space="0" w:color="auto"/>
            </w:tcBorders>
            <w:shd w:val="clear" w:color="auto" w:fill="auto"/>
            <w:noWrap/>
            <w:vAlign w:val="bottom"/>
            <w:hideMark/>
          </w:tcPr>
          <w:p w:rsidR="00A77124" w:rsidRPr="002E596E" w:rsidRDefault="00A77124" w:rsidP="00801E34">
            <w:pPr>
              <w:spacing w:after="0" w:line="240" w:lineRule="auto"/>
              <w:rPr>
                <w:rFonts w:ascii="Times New Roman" w:eastAsia="Times New Roman" w:hAnsi="Times New Roman" w:cs="Times New Roman"/>
                <w:b/>
                <w:bCs/>
                <w:color w:val="000000"/>
                <w:sz w:val="20"/>
                <w:szCs w:val="20"/>
                <w:lang w:eastAsia="cs-CZ"/>
              </w:rPr>
            </w:pPr>
            <w:r w:rsidRPr="002E596E">
              <w:rPr>
                <w:rFonts w:ascii="Times New Roman" w:eastAsia="Times New Roman" w:hAnsi="Times New Roman" w:cs="Times New Roman"/>
                <w:b/>
                <w:bCs/>
                <w:color w:val="000000"/>
                <w:sz w:val="20"/>
                <w:szCs w:val="20"/>
                <w:lang w:eastAsia="cs-CZ"/>
              </w:rPr>
              <w:t>Ženy v %</w:t>
            </w:r>
          </w:p>
        </w:tc>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29,0</w:t>
            </w:r>
          </w:p>
        </w:tc>
        <w:tc>
          <w:tcPr>
            <w:tcW w:w="719"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35,7</w:t>
            </w:r>
          </w:p>
        </w:tc>
        <w:tc>
          <w:tcPr>
            <w:tcW w:w="721"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29,5</w:t>
            </w:r>
          </w:p>
        </w:tc>
        <w:tc>
          <w:tcPr>
            <w:tcW w:w="790"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5,0</w:t>
            </w:r>
          </w:p>
        </w:tc>
        <w:tc>
          <w:tcPr>
            <w:tcW w:w="718"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r w:rsidRPr="002E596E">
              <w:rPr>
                <w:rFonts w:ascii="Times New Roman" w:eastAsia="Times New Roman" w:hAnsi="Times New Roman" w:cs="Times New Roman"/>
                <w:color w:val="000000"/>
                <w:sz w:val="20"/>
                <w:szCs w:val="20"/>
                <w:lang w:eastAsia="cs-CZ"/>
              </w:rPr>
              <w:t>0,7</w:t>
            </w:r>
          </w:p>
        </w:tc>
        <w:tc>
          <w:tcPr>
            <w:tcW w:w="716" w:type="pct"/>
            <w:tcBorders>
              <w:top w:val="nil"/>
              <w:left w:val="nil"/>
              <w:bottom w:val="single" w:sz="4" w:space="0" w:color="auto"/>
              <w:right w:val="single" w:sz="4" w:space="0" w:color="auto"/>
            </w:tcBorders>
            <w:shd w:val="clear" w:color="auto" w:fill="auto"/>
            <w:noWrap/>
            <w:vAlign w:val="center"/>
            <w:hideMark/>
          </w:tcPr>
          <w:p w:rsidR="00A77124" w:rsidRPr="002E596E" w:rsidRDefault="00A77124" w:rsidP="00801E34">
            <w:pPr>
              <w:spacing w:after="0" w:line="240" w:lineRule="auto"/>
              <w:jc w:val="center"/>
              <w:rPr>
                <w:rFonts w:ascii="Times New Roman" w:eastAsia="Times New Roman" w:hAnsi="Times New Roman" w:cs="Times New Roman"/>
                <w:color w:val="000000"/>
                <w:sz w:val="20"/>
                <w:szCs w:val="20"/>
                <w:lang w:eastAsia="cs-CZ"/>
              </w:rPr>
            </w:pPr>
            <w:proofErr w:type="spellStart"/>
            <w:r w:rsidRPr="002E596E">
              <w:rPr>
                <w:rFonts w:ascii="Times New Roman" w:eastAsia="Times New Roman" w:hAnsi="Times New Roman" w:cs="Times New Roman"/>
                <w:color w:val="000000"/>
                <w:sz w:val="20"/>
                <w:szCs w:val="20"/>
                <w:lang w:eastAsia="cs-CZ"/>
              </w:rPr>
              <w:t>xx</w:t>
            </w:r>
            <w:proofErr w:type="spellEnd"/>
          </w:p>
        </w:tc>
      </w:tr>
    </w:tbl>
    <w:p w:rsidR="00A77124" w:rsidRPr="00C92C1C" w:rsidRDefault="00A77124" w:rsidP="00A77124">
      <w:pPr>
        <w:spacing w:line="240" w:lineRule="auto"/>
        <w:rPr>
          <w:rFonts w:ascii="Times New Roman" w:hAnsi="Times New Roman" w:cs="Times New Roman"/>
          <w:sz w:val="18"/>
        </w:rPr>
      </w:pPr>
      <w:r w:rsidRPr="009201EF">
        <w:rPr>
          <w:rFonts w:ascii="Times New Roman" w:hAnsi="Times New Roman" w:cs="Times New Roman"/>
          <w:sz w:val="18"/>
        </w:rPr>
        <w:t xml:space="preserve">Zdroj: ČSÚ </w:t>
      </w:r>
      <w:r>
        <w:rPr>
          <w:rFonts w:ascii="Times New Roman" w:hAnsi="Times New Roman" w:cs="Times New Roman"/>
          <w:sz w:val="18"/>
        </w:rPr>
        <w:t>– SLDB 2011, vlastní zpracování</w:t>
      </w:r>
    </w:p>
    <w:p w:rsidR="00A77124" w:rsidRPr="009201EF" w:rsidRDefault="00A77124" w:rsidP="00A77124">
      <w:pPr>
        <w:jc w:val="both"/>
        <w:rPr>
          <w:rFonts w:ascii="Times New Roman" w:hAnsi="Times New Roman" w:cs="Times New Roman"/>
        </w:rPr>
      </w:pPr>
      <w:r>
        <w:rPr>
          <w:rFonts w:ascii="Times New Roman" w:hAnsi="Times New Roman" w:cs="Times New Roman"/>
        </w:rPr>
        <w:t xml:space="preserve">Z hlediska srovnání mužů a žen v dokončeném stupni vzdělání, dosahují ženy horších hodnot pouze ve stupni základního vzdělání. </w:t>
      </w:r>
    </w:p>
    <w:p w:rsidR="00A77124" w:rsidRPr="009201EF" w:rsidRDefault="00A77124" w:rsidP="00A77124">
      <w:pPr>
        <w:jc w:val="both"/>
        <w:rPr>
          <w:rFonts w:ascii="Times New Roman" w:hAnsi="Times New Roman" w:cs="Times New Roman"/>
        </w:rPr>
      </w:pPr>
      <w:r w:rsidRPr="009201EF">
        <w:rPr>
          <w:rFonts w:ascii="Times New Roman" w:hAnsi="Times New Roman" w:cs="Times New Roman"/>
        </w:rPr>
        <w:t>Vzdělano</w:t>
      </w:r>
      <w:r>
        <w:rPr>
          <w:rFonts w:ascii="Times New Roman" w:hAnsi="Times New Roman" w:cs="Times New Roman"/>
        </w:rPr>
        <w:t xml:space="preserve">stní struktura </w:t>
      </w:r>
      <w:r w:rsidRPr="009201EF">
        <w:rPr>
          <w:rFonts w:ascii="Times New Roman" w:hAnsi="Times New Roman" w:cs="Times New Roman"/>
        </w:rPr>
        <w:t xml:space="preserve">je zachycena v následujícím grafu, ze kterého lze vyčíst absolutní hodnoty reprezentující jednotlivé kategorie. </w:t>
      </w:r>
    </w:p>
    <w:p w:rsidR="00A77124" w:rsidRPr="009201EF" w:rsidRDefault="00A77124" w:rsidP="00A77124">
      <w:pPr>
        <w:spacing w:after="0" w:line="240" w:lineRule="auto"/>
        <w:rPr>
          <w:rFonts w:ascii="Times New Roman" w:hAnsi="Times New Roman" w:cs="Times New Roman"/>
          <w:sz w:val="18"/>
        </w:rPr>
      </w:pPr>
      <w:r>
        <w:rPr>
          <w:rFonts w:ascii="Times New Roman" w:hAnsi="Times New Roman" w:cs="Times New Roman"/>
          <w:sz w:val="18"/>
        </w:rPr>
        <w:t>Graf:</w:t>
      </w:r>
      <w:r w:rsidRPr="009201EF">
        <w:rPr>
          <w:rFonts w:ascii="Times New Roman" w:hAnsi="Times New Roman" w:cs="Times New Roman"/>
          <w:sz w:val="18"/>
        </w:rPr>
        <w:t xml:space="preserve"> Vzdělano</w:t>
      </w:r>
      <w:r>
        <w:rPr>
          <w:rFonts w:ascii="Times New Roman" w:hAnsi="Times New Roman" w:cs="Times New Roman"/>
          <w:sz w:val="18"/>
        </w:rPr>
        <w:t xml:space="preserve">stní struktura obyvatel </w:t>
      </w:r>
      <w:r w:rsidRPr="009201EF">
        <w:rPr>
          <w:rFonts w:ascii="Times New Roman" w:hAnsi="Times New Roman" w:cs="Times New Roman"/>
          <w:sz w:val="18"/>
        </w:rPr>
        <w:t>v roce 2011, absolutní hodnoty</w:t>
      </w:r>
    </w:p>
    <w:p w:rsidR="00A77124" w:rsidRPr="009201EF" w:rsidRDefault="00A77124" w:rsidP="00A77124">
      <w:pPr>
        <w:spacing w:after="0" w:line="240" w:lineRule="auto"/>
        <w:rPr>
          <w:rFonts w:ascii="Times New Roman" w:hAnsi="Times New Roman" w:cs="Times New Roman"/>
          <w:sz w:val="18"/>
        </w:rPr>
      </w:pPr>
      <w:r>
        <w:rPr>
          <w:noProof/>
          <w:lang w:eastAsia="cs-CZ"/>
        </w:rPr>
        <w:drawing>
          <wp:inline distT="0" distB="0" distL="0" distR="0" wp14:anchorId="55BCD7E2" wp14:editId="48B2E453">
            <wp:extent cx="5724525" cy="2066925"/>
            <wp:effectExtent l="76200" t="57150" r="66675" b="8572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7124" w:rsidRPr="009201EF" w:rsidRDefault="00A77124" w:rsidP="00A77124">
      <w:pPr>
        <w:spacing w:line="240" w:lineRule="auto"/>
        <w:rPr>
          <w:rFonts w:ascii="Times New Roman" w:hAnsi="Times New Roman" w:cs="Times New Roman"/>
          <w:sz w:val="18"/>
        </w:rPr>
      </w:pPr>
      <w:r w:rsidRPr="009201EF">
        <w:rPr>
          <w:rFonts w:ascii="Times New Roman" w:hAnsi="Times New Roman" w:cs="Times New Roman"/>
          <w:sz w:val="18"/>
        </w:rPr>
        <w:t>Zdroj: ČSÚ – SLDB 2011, vlastní zpracování</w:t>
      </w:r>
    </w:p>
    <w:p w:rsidR="00A77124" w:rsidRDefault="00A77124" w:rsidP="00A77124">
      <w:pPr>
        <w:rPr>
          <w:rFonts w:ascii="Times New Roman" w:hAnsi="Times New Roman" w:cs="Times New Roman"/>
        </w:rPr>
      </w:pPr>
      <w:r w:rsidRPr="009201EF">
        <w:rPr>
          <w:rFonts w:ascii="Times New Roman" w:hAnsi="Times New Roman" w:cs="Times New Roman"/>
        </w:rPr>
        <w:t>Dominantní je tedy vzdělání střední bez maturity, následuje úpl</w:t>
      </w:r>
      <w:r>
        <w:rPr>
          <w:rFonts w:ascii="Times New Roman" w:hAnsi="Times New Roman" w:cs="Times New Roman"/>
        </w:rPr>
        <w:t>né střední</w:t>
      </w:r>
      <w:r w:rsidRPr="009201EF">
        <w:rPr>
          <w:rFonts w:ascii="Times New Roman" w:hAnsi="Times New Roman" w:cs="Times New Roman"/>
        </w:rPr>
        <w:t xml:space="preserve">. </w:t>
      </w:r>
    </w:p>
    <w:p w:rsidR="00A77124" w:rsidRPr="00CC17C7" w:rsidRDefault="00A77124" w:rsidP="00A77124">
      <w:pPr>
        <w:rPr>
          <w:rFonts w:ascii="Times New Roman" w:hAnsi="Times New Roman" w:cs="Times New Roman"/>
        </w:rPr>
      </w:pPr>
    </w:p>
    <w:p w:rsidR="00A77124" w:rsidRPr="009201EF" w:rsidRDefault="00A77124" w:rsidP="00A77124">
      <w:pPr>
        <w:pStyle w:val="Nadpis4"/>
      </w:pPr>
      <w:bookmarkStart w:id="3" w:name="_Toc420948852"/>
      <w:r w:rsidRPr="009201EF">
        <w:lastRenderedPageBreak/>
        <w:t>Dílčí SWOT analýza</w:t>
      </w:r>
      <w:bookmarkEnd w:id="3"/>
    </w:p>
    <w:p w:rsidR="00A77124" w:rsidRPr="00E60A4D" w:rsidRDefault="00A77124" w:rsidP="00A77124">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Silné stránky</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Slabé stránky</w:t>
      </w:r>
    </w:p>
    <w:tbl>
      <w:tblPr>
        <w:tblW w:w="0" w:type="auto"/>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517"/>
        <w:gridCol w:w="4525"/>
      </w:tblGrid>
      <w:tr w:rsidR="00A77124" w:rsidRPr="009201EF" w:rsidTr="00801E34">
        <w:tc>
          <w:tcPr>
            <w:tcW w:w="4606" w:type="dxa"/>
            <w:shd w:val="clear" w:color="auto" w:fill="auto"/>
          </w:tcPr>
          <w:p w:rsidR="00A77124"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dlouhodobě stabilní počet narozených dětí</w:t>
            </w:r>
          </w:p>
          <w:p w:rsidR="00A77124" w:rsidRDefault="00A77124" w:rsidP="00801E34">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dlouhodobě stabilní vývoj přirozeného přírůstku (nulová hranice)</w:t>
            </w:r>
          </w:p>
          <w:p w:rsidR="00A77124" w:rsidRPr="00003251" w:rsidRDefault="00A77124" w:rsidP="00801E34">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 xml:space="preserve">stabilizace poměrného zastoupení skupiny obyvatel do 14 let </w:t>
            </w:r>
          </w:p>
          <w:p w:rsidR="00A77124" w:rsidRPr="00B05BFF" w:rsidRDefault="00A77124" w:rsidP="00801E34">
            <w:pPr>
              <w:ind w:left="360"/>
              <w:contextualSpacing/>
              <w:rPr>
                <w:rFonts w:ascii="Times New Roman" w:hAnsi="Times New Roman" w:cs="Times New Roman"/>
                <w:color w:val="17365D" w:themeColor="text2" w:themeShade="BF"/>
              </w:rPr>
            </w:pPr>
          </w:p>
        </w:tc>
        <w:tc>
          <w:tcPr>
            <w:tcW w:w="4606" w:type="dxa"/>
            <w:shd w:val="clear" w:color="auto" w:fill="auto"/>
          </w:tcPr>
          <w:p w:rsidR="00A77124" w:rsidRPr="00B05BFF"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klesající vývoj počtu obyvatel</w:t>
            </w:r>
          </w:p>
          <w:p w:rsidR="00A77124"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stárnutí obyvatelstva</w:t>
            </w:r>
            <w:r>
              <w:rPr>
                <w:rFonts w:ascii="Times New Roman" w:hAnsi="Times New Roman" w:cs="Times New Roman"/>
                <w:color w:val="17365D" w:themeColor="text2" w:themeShade="BF"/>
              </w:rPr>
              <w:t xml:space="preserve"> </w:t>
            </w:r>
          </w:p>
          <w:p w:rsidR="00A77124" w:rsidRDefault="00A77124" w:rsidP="00801E34">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skokový nárůst počtu obyvatel nad 65 let</w:t>
            </w:r>
          </w:p>
          <w:p w:rsidR="00A77124" w:rsidRPr="00B05BFF" w:rsidRDefault="00A77124" w:rsidP="00801E34">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dlouhodobě záporné migrační saldo</w:t>
            </w:r>
          </w:p>
          <w:p w:rsidR="00A77124" w:rsidRPr="00B05BFF"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1/4 obyvatel dosahuje základního vzdělání</w:t>
            </w:r>
          </w:p>
        </w:tc>
      </w:tr>
      <w:tr w:rsidR="00A77124" w:rsidRPr="009201EF" w:rsidTr="00801E34">
        <w:tc>
          <w:tcPr>
            <w:tcW w:w="4606" w:type="dxa"/>
            <w:shd w:val="clear" w:color="auto" w:fill="auto"/>
          </w:tcPr>
          <w:p w:rsidR="00A77124"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stabilizace počtu obyvatel</w:t>
            </w:r>
            <w:r>
              <w:rPr>
                <w:rFonts w:ascii="Times New Roman" w:hAnsi="Times New Roman" w:cs="Times New Roman"/>
                <w:color w:val="17365D" w:themeColor="text2" w:themeShade="BF"/>
              </w:rPr>
              <w:t xml:space="preserve"> přírůstkem</w:t>
            </w:r>
            <w:r w:rsidRPr="00B05BFF">
              <w:rPr>
                <w:rFonts w:ascii="Times New Roman" w:hAnsi="Times New Roman" w:cs="Times New Roman"/>
                <w:color w:val="17365D" w:themeColor="text2" w:themeShade="BF"/>
              </w:rPr>
              <w:t xml:space="preserve"> </w:t>
            </w:r>
            <w:r>
              <w:rPr>
                <w:rFonts w:ascii="Times New Roman" w:hAnsi="Times New Roman" w:cs="Times New Roman"/>
                <w:color w:val="17365D" w:themeColor="text2" w:themeShade="BF"/>
              </w:rPr>
              <w:t>stěhování</w:t>
            </w:r>
          </w:p>
          <w:p w:rsidR="00A77124" w:rsidRPr="00B05BFF" w:rsidRDefault="00A77124" w:rsidP="00801E34">
            <w:pPr>
              <w:numPr>
                <w:ilvl w:val="0"/>
                <w:numId w:val="5"/>
              </w:numPr>
              <w:contextualSpacing/>
              <w:rPr>
                <w:rFonts w:ascii="Times New Roman" w:hAnsi="Times New Roman" w:cs="Times New Roman"/>
                <w:color w:val="17365D" w:themeColor="text2" w:themeShade="BF"/>
              </w:rPr>
            </w:pPr>
            <w:r>
              <w:rPr>
                <w:rFonts w:ascii="Times New Roman" w:hAnsi="Times New Roman" w:cs="Times New Roman"/>
                <w:color w:val="17365D" w:themeColor="text2" w:themeShade="BF"/>
              </w:rPr>
              <w:t>rozvoj dostupnosti soc. služeb pro cílovou skupinu seniorů</w:t>
            </w:r>
          </w:p>
        </w:tc>
        <w:tc>
          <w:tcPr>
            <w:tcW w:w="4606" w:type="dxa"/>
            <w:shd w:val="clear" w:color="auto" w:fill="auto"/>
          </w:tcPr>
          <w:p w:rsidR="00A77124" w:rsidRPr="00B05BFF"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pokračující nepřízn</w:t>
            </w:r>
            <w:r>
              <w:rPr>
                <w:rFonts w:ascii="Times New Roman" w:hAnsi="Times New Roman" w:cs="Times New Roman"/>
                <w:color w:val="17365D" w:themeColor="text2" w:themeShade="BF"/>
              </w:rPr>
              <w:t>ivý demografický vývoj stárnutím</w:t>
            </w:r>
            <w:r w:rsidRPr="00B05BFF">
              <w:rPr>
                <w:rFonts w:ascii="Times New Roman" w:hAnsi="Times New Roman" w:cs="Times New Roman"/>
                <w:color w:val="17365D" w:themeColor="text2" w:themeShade="BF"/>
              </w:rPr>
              <w:t xml:space="preserve"> obyvatelstva</w:t>
            </w:r>
          </w:p>
          <w:p w:rsidR="00A77124" w:rsidRPr="00B05BFF" w:rsidRDefault="00A77124" w:rsidP="00801E34">
            <w:pPr>
              <w:numPr>
                <w:ilvl w:val="0"/>
                <w:numId w:val="5"/>
              </w:numPr>
              <w:contextualSpacing/>
              <w:rPr>
                <w:rFonts w:ascii="Times New Roman" w:hAnsi="Times New Roman" w:cs="Times New Roman"/>
                <w:color w:val="17365D" w:themeColor="text2" w:themeShade="BF"/>
              </w:rPr>
            </w:pPr>
            <w:r w:rsidRPr="00B05BFF">
              <w:rPr>
                <w:rFonts w:ascii="Times New Roman" w:hAnsi="Times New Roman" w:cs="Times New Roman"/>
                <w:color w:val="17365D" w:themeColor="text2" w:themeShade="BF"/>
              </w:rPr>
              <w:t>n</w:t>
            </w:r>
            <w:r>
              <w:rPr>
                <w:rFonts w:ascii="Times New Roman" w:hAnsi="Times New Roman" w:cs="Times New Roman"/>
                <w:color w:val="17365D" w:themeColor="text2" w:themeShade="BF"/>
              </w:rPr>
              <w:t>epřipravenost obce</w:t>
            </w:r>
            <w:r w:rsidRPr="00B05BFF">
              <w:rPr>
                <w:rFonts w:ascii="Times New Roman" w:hAnsi="Times New Roman" w:cs="Times New Roman"/>
                <w:color w:val="17365D" w:themeColor="text2" w:themeShade="BF"/>
              </w:rPr>
              <w:t xml:space="preserve"> na nárůst obyvatelstva ve věkových skupinách nad 75 let</w:t>
            </w:r>
          </w:p>
        </w:tc>
      </w:tr>
    </w:tbl>
    <w:p w:rsidR="004A45BA" w:rsidRPr="00BB043F" w:rsidRDefault="00A77124" w:rsidP="00BB043F">
      <w:pPr>
        <w:spacing w:after="0" w:line="240" w:lineRule="auto"/>
        <w:rPr>
          <w:rFonts w:ascii="Times New Roman" w:hAnsi="Times New Roman" w:cs="Times New Roman"/>
          <w:color w:val="17365D" w:themeColor="text2" w:themeShade="BF"/>
        </w:rPr>
      </w:pPr>
      <w:r w:rsidRPr="00E60A4D">
        <w:rPr>
          <w:rFonts w:ascii="Times New Roman" w:hAnsi="Times New Roman" w:cs="Times New Roman"/>
          <w:color w:val="17365D" w:themeColor="text2" w:themeShade="BF"/>
        </w:rPr>
        <w:t>Příležitosti</w:t>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bookmarkStart w:id="4" w:name="_GoBack"/>
      <w:bookmarkEnd w:id="4"/>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r>
      <w:r w:rsidRPr="00E60A4D">
        <w:rPr>
          <w:rFonts w:ascii="Times New Roman" w:hAnsi="Times New Roman" w:cs="Times New Roman"/>
          <w:color w:val="17365D" w:themeColor="text2" w:themeShade="BF"/>
        </w:rPr>
        <w:tab/>
        <w:t xml:space="preserve">                     Ohrožení</w:t>
      </w:r>
      <w:bookmarkStart w:id="5" w:name="_Toc420948853"/>
      <w:bookmarkEnd w:id="5"/>
    </w:p>
    <w:sectPr w:rsidR="004A45BA" w:rsidRPr="00BB043F" w:rsidSect="00E60A4D">
      <w:headerReference w:type="default" r:id="rId13"/>
      <w:footerReference w:type="default" r:id="rId14"/>
      <w:headerReference w:type="first" r:id="rId15"/>
      <w:pgSz w:w="11906" w:h="16838"/>
      <w:pgMar w:top="1417" w:right="1417" w:bottom="1417" w:left="1417" w:header="708" w:footer="708"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5C" w:rsidRDefault="00AE4B5C" w:rsidP="00420A84">
      <w:pPr>
        <w:spacing w:after="0" w:line="240" w:lineRule="auto"/>
      </w:pPr>
      <w:r>
        <w:separator/>
      </w:r>
    </w:p>
  </w:endnote>
  <w:endnote w:type="continuationSeparator" w:id="0">
    <w:p w:rsidR="00AE4B5C" w:rsidRDefault="00AE4B5C" w:rsidP="0042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030585"/>
      <w:docPartObj>
        <w:docPartGallery w:val="Page Numbers (Bottom of Page)"/>
        <w:docPartUnique/>
      </w:docPartObj>
    </w:sdtPr>
    <w:sdtEndPr/>
    <w:sdtContent>
      <w:p w:rsidR="00304A4D" w:rsidRDefault="00304A4D">
        <w:pPr>
          <w:pStyle w:val="Zpat"/>
          <w:jc w:val="right"/>
        </w:pPr>
        <w:r>
          <w:rPr>
            <w:noProof/>
          </w:rPr>
          <w:fldChar w:fldCharType="begin"/>
        </w:r>
        <w:r>
          <w:rPr>
            <w:noProof/>
          </w:rPr>
          <w:instrText>PAGE   \* MERGEFORMAT</w:instrText>
        </w:r>
        <w:r>
          <w:rPr>
            <w:noProof/>
          </w:rPr>
          <w:fldChar w:fldCharType="separate"/>
        </w:r>
        <w:r w:rsidR="00BB043F">
          <w:rPr>
            <w:noProof/>
          </w:rPr>
          <w:t>5</w:t>
        </w:r>
        <w:r>
          <w:rPr>
            <w:noProof/>
          </w:rPr>
          <w:fldChar w:fldCharType="end"/>
        </w:r>
      </w:p>
    </w:sdtContent>
  </w:sdt>
  <w:p w:rsidR="00304A4D" w:rsidRDefault="00304A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5C" w:rsidRDefault="00AE4B5C" w:rsidP="00420A84">
      <w:pPr>
        <w:spacing w:after="0" w:line="240" w:lineRule="auto"/>
      </w:pPr>
      <w:r>
        <w:separator/>
      </w:r>
    </w:p>
  </w:footnote>
  <w:footnote w:type="continuationSeparator" w:id="0">
    <w:p w:rsidR="00AE4B5C" w:rsidRDefault="00AE4B5C" w:rsidP="00420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4D" w:rsidRPr="00D9470F" w:rsidRDefault="00304A4D" w:rsidP="00ED76B6">
    <w:pPr>
      <w:pStyle w:val="Zhlav"/>
      <w:rPr>
        <w:rFonts w:ascii="Times New Roman" w:hAnsi="Times New Roman" w:cs="Times New Roman"/>
        <w:sz w:val="24"/>
        <w:szCs w:val="24"/>
      </w:rPr>
    </w:pPr>
    <w:r>
      <w:rPr>
        <w:noProof/>
        <w:lang w:eastAsia="cs-CZ"/>
      </w:rPr>
      <w:drawing>
        <wp:anchor distT="0" distB="0" distL="114300" distR="114300" simplePos="0" relativeHeight="251658240" behindDoc="0" locked="0" layoutInCell="1" allowOverlap="1" wp14:anchorId="0391A0C7" wp14:editId="04D19510">
          <wp:simplePos x="0" y="0"/>
          <wp:positionH relativeFrom="column">
            <wp:posOffset>4100830</wp:posOffset>
          </wp:positionH>
          <wp:positionV relativeFrom="paragraph">
            <wp:posOffset>-68580</wp:posOffset>
          </wp:positionV>
          <wp:extent cx="2105025" cy="43624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304A4D" w:rsidRDefault="00304A4D">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A4D" w:rsidRPr="00D9470F" w:rsidRDefault="00304A4D" w:rsidP="00ED76B6">
    <w:pPr>
      <w:pStyle w:val="Zhlav"/>
      <w:rPr>
        <w:rFonts w:ascii="Times New Roman" w:hAnsi="Times New Roman" w:cs="Times New Roman"/>
        <w:sz w:val="24"/>
        <w:szCs w:val="24"/>
      </w:rPr>
    </w:pPr>
    <w:r>
      <w:rPr>
        <w:noProof/>
        <w:lang w:eastAsia="cs-CZ"/>
      </w:rPr>
      <w:drawing>
        <wp:anchor distT="0" distB="0" distL="114300" distR="114300" simplePos="0" relativeHeight="251656192" behindDoc="0" locked="0" layoutInCell="1" allowOverlap="1" wp14:anchorId="0391A0C7" wp14:editId="04D19510">
          <wp:simplePos x="0" y="0"/>
          <wp:positionH relativeFrom="column">
            <wp:posOffset>4100830</wp:posOffset>
          </wp:positionH>
          <wp:positionV relativeFrom="paragraph">
            <wp:posOffset>-68580</wp:posOffset>
          </wp:positionV>
          <wp:extent cx="2105025" cy="43624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OPZ barevn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025" cy="436245"/>
                  </a:xfrm>
                  <a:prstGeom prst="rect">
                    <a:avLst/>
                  </a:prstGeom>
                </pic:spPr>
              </pic:pic>
            </a:graphicData>
          </a:graphic>
          <wp14:sizeRelH relativeFrom="page">
            <wp14:pctWidth>0</wp14:pctWidth>
          </wp14:sizeRelH>
          <wp14:sizeRelV relativeFrom="page">
            <wp14:pctHeight>0</wp14:pctHeight>
          </wp14:sizeRelV>
        </wp:anchor>
      </w:drawing>
    </w:r>
    <w:r w:rsidRPr="00D9470F">
      <w:rPr>
        <w:rFonts w:ascii="Times New Roman" w:hAnsi="Times New Roman" w:cs="Times New Roman"/>
        <w:sz w:val="24"/>
        <w:szCs w:val="24"/>
      </w:rPr>
      <w:t xml:space="preserve">Plánování regionálního rozvoje v Mikroregionu </w:t>
    </w:r>
    <w:proofErr w:type="spellStart"/>
    <w:r w:rsidRPr="00D9470F">
      <w:rPr>
        <w:rFonts w:ascii="Times New Roman" w:hAnsi="Times New Roman" w:cs="Times New Roman"/>
        <w:sz w:val="24"/>
        <w:szCs w:val="24"/>
      </w:rPr>
      <w:t>Tanvaldsko</w:t>
    </w:r>
    <w:proofErr w:type="spellEnd"/>
  </w:p>
  <w:p w:rsidR="00304A4D" w:rsidRDefault="00304A4D">
    <w:pPr>
      <w:pStyle w:val="Zhlav"/>
    </w:pPr>
    <w:r w:rsidRPr="00D9470F">
      <w:rPr>
        <w:rFonts w:ascii="Times New Roman" w:hAnsi="Times New Roman" w:cs="Times New Roman"/>
        <w:sz w:val="24"/>
        <w:szCs w:val="24"/>
      </w:rPr>
      <w:t>CZ.03.4.74/0.0/0.0/16_058/0007376</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527"/>
    <w:multiLevelType w:val="hybridMultilevel"/>
    <w:tmpl w:val="98CC736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637CC"/>
    <w:multiLevelType w:val="hybridMultilevel"/>
    <w:tmpl w:val="AA5E5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1A0BB1"/>
    <w:multiLevelType w:val="hybridMultilevel"/>
    <w:tmpl w:val="22FA58D6"/>
    <w:lvl w:ilvl="0" w:tplc="51A232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F87A83"/>
    <w:multiLevelType w:val="hybridMultilevel"/>
    <w:tmpl w:val="7618F9E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D90575"/>
    <w:multiLevelType w:val="hybridMultilevel"/>
    <w:tmpl w:val="1DAC98D0"/>
    <w:lvl w:ilvl="0" w:tplc="A306BA80">
      <w:start w:val="1"/>
      <w:numFmt w:val="bullet"/>
      <w:lvlText w:val=""/>
      <w:lvlJc w:val="left"/>
      <w:pPr>
        <w:ind w:left="780" w:hanging="360"/>
      </w:pPr>
      <w:rPr>
        <w:rFonts w:ascii="Symbol" w:hAnsi="Symbol" w:hint="default"/>
        <w:color w:val="17365D" w:themeColor="text2" w:themeShade="BF"/>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62530CB"/>
    <w:multiLevelType w:val="hybridMultilevel"/>
    <w:tmpl w:val="350C97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726ACB"/>
    <w:multiLevelType w:val="hybridMultilevel"/>
    <w:tmpl w:val="960E11F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A0039A"/>
    <w:multiLevelType w:val="hybridMultilevel"/>
    <w:tmpl w:val="C15C7EB6"/>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C6B7D08"/>
    <w:multiLevelType w:val="hybridMultilevel"/>
    <w:tmpl w:val="F288E7F6"/>
    <w:lvl w:ilvl="0" w:tplc="A306BA80">
      <w:start w:val="1"/>
      <w:numFmt w:val="bullet"/>
      <w:lvlText w:val=""/>
      <w:lvlJc w:val="left"/>
      <w:pPr>
        <w:ind w:left="780" w:hanging="360"/>
      </w:pPr>
      <w:rPr>
        <w:rFonts w:ascii="Symbol" w:hAnsi="Symbol" w:hint="default"/>
        <w:color w:val="17365D" w:themeColor="text2" w:themeShade="BF"/>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1E06719E"/>
    <w:multiLevelType w:val="hybridMultilevel"/>
    <w:tmpl w:val="0CFED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125FC3"/>
    <w:multiLevelType w:val="hybridMultilevel"/>
    <w:tmpl w:val="7E006746"/>
    <w:lvl w:ilvl="0" w:tplc="FEEC4F5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F7FB2"/>
    <w:multiLevelType w:val="hybridMultilevel"/>
    <w:tmpl w:val="6CC8D100"/>
    <w:lvl w:ilvl="0" w:tplc="A306BA80">
      <w:start w:val="1"/>
      <w:numFmt w:val="bullet"/>
      <w:lvlText w:val=""/>
      <w:lvlJc w:val="left"/>
      <w:pPr>
        <w:ind w:left="1440" w:hanging="360"/>
      </w:pPr>
      <w:rPr>
        <w:rFonts w:ascii="Symbol" w:hAnsi="Symbol" w:hint="default"/>
        <w:color w:val="17365D" w:themeColor="text2" w:themeShade="BF"/>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26B77E55"/>
    <w:multiLevelType w:val="hybridMultilevel"/>
    <w:tmpl w:val="CC4619C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412CE9"/>
    <w:multiLevelType w:val="hybridMultilevel"/>
    <w:tmpl w:val="6310E38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585E66"/>
    <w:multiLevelType w:val="hybridMultilevel"/>
    <w:tmpl w:val="64766DE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9E177A"/>
    <w:multiLevelType w:val="hybridMultilevel"/>
    <w:tmpl w:val="9B36045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D360D3"/>
    <w:multiLevelType w:val="hybridMultilevel"/>
    <w:tmpl w:val="91584E5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4F012B"/>
    <w:multiLevelType w:val="hybridMultilevel"/>
    <w:tmpl w:val="0FC43D4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6B15A4"/>
    <w:multiLevelType w:val="hybridMultilevel"/>
    <w:tmpl w:val="E3F26090"/>
    <w:lvl w:ilvl="0" w:tplc="A306BA80">
      <w:start w:val="1"/>
      <w:numFmt w:val="bullet"/>
      <w:lvlText w:val=""/>
      <w:lvlJc w:val="left"/>
      <w:pPr>
        <w:ind w:left="1080" w:hanging="360"/>
      </w:pPr>
      <w:rPr>
        <w:rFonts w:ascii="Symbol" w:hAnsi="Symbol" w:hint="default"/>
        <w:color w:val="17365D" w:themeColor="text2"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36E05DB1"/>
    <w:multiLevelType w:val="hybridMultilevel"/>
    <w:tmpl w:val="2898A17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660542"/>
    <w:multiLevelType w:val="hybridMultilevel"/>
    <w:tmpl w:val="D318BC46"/>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D56C78"/>
    <w:multiLevelType w:val="hybridMultilevel"/>
    <w:tmpl w:val="47B67F58"/>
    <w:lvl w:ilvl="0" w:tplc="369202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42A15A5D"/>
    <w:multiLevelType w:val="hybridMultilevel"/>
    <w:tmpl w:val="9A4CD0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0211E8"/>
    <w:multiLevelType w:val="hybridMultilevel"/>
    <w:tmpl w:val="266EA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17333F"/>
    <w:multiLevelType w:val="hybridMultilevel"/>
    <w:tmpl w:val="529EFA76"/>
    <w:lvl w:ilvl="0" w:tplc="A306BA80">
      <w:start w:val="1"/>
      <w:numFmt w:val="bullet"/>
      <w:lvlText w:val=""/>
      <w:lvlJc w:val="left"/>
      <w:pPr>
        <w:ind w:left="776" w:hanging="360"/>
      </w:pPr>
      <w:rPr>
        <w:rFonts w:ascii="Symbol" w:hAnsi="Symbol" w:hint="default"/>
        <w:color w:val="17365D" w:themeColor="text2" w:themeShade="BF"/>
      </w:rPr>
    </w:lvl>
    <w:lvl w:ilvl="1" w:tplc="04050003" w:tentative="1">
      <w:start w:val="1"/>
      <w:numFmt w:val="bullet"/>
      <w:lvlText w:val="o"/>
      <w:lvlJc w:val="left"/>
      <w:pPr>
        <w:ind w:left="1496" w:hanging="360"/>
      </w:pPr>
      <w:rPr>
        <w:rFonts w:ascii="Courier New" w:hAnsi="Courier New" w:cs="Courier New" w:hint="default"/>
      </w:rPr>
    </w:lvl>
    <w:lvl w:ilvl="2" w:tplc="04050005" w:tentative="1">
      <w:start w:val="1"/>
      <w:numFmt w:val="bullet"/>
      <w:lvlText w:val=""/>
      <w:lvlJc w:val="left"/>
      <w:pPr>
        <w:ind w:left="2216" w:hanging="360"/>
      </w:pPr>
      <w:rPr>
        <w:rFonts w:ascii="Wingdings" w:hAnsi="Wingdings" w:hint="default"/>
      </w:rPr>
    </w:lvl>
    <w:lvl w:ilvl="3" w:tplc="04050001" w:tentative="1">
      <w:start w:val="1"/>
      <w:numFmt w:val="bullet"/>
      <w:lvlText w:val=""/>
      <w:lvlJc w:val="left"/>
      <w:pPr>
        <w:ind w:left="2936" w:hanging="360"/>
      </w:pPr>
      <w:rPr>
        <w:rFonts w:ascii="Symbol" w:hAnsi="Symbol" w:hint="default"/>
      </w:rPr>
    </w:lvl>
    <w:lvl w:ilvl="4" w:tplc="04050003" w:tentative="1">
      <w:start w:val="1"/>
      <w:numFmt w:val="bullet"/>
      <w:lvlText w:val="o"/>
      <w:lvlJc w:val="left"/>
      <w:pPr>
        <w:ind w:left="3656" w:hanging="360"/>
      </w:pPr>
      <w:rPr>
        <w:rFonts w:ascii="Courier New" w:hAnsi="Courier New" w:cs="Courier New" w:hint="default"/>
      </w:rPr>
    </w:lvl>
    <w:lvl w:ilvl="5" w:tplc="04050005" w:tentative="1">
      <w:start w:val="1"/>
      <w:numFmt w:val="bullet"/>
      <w:lvlText w:val=""/>
      <w:lvlJc w:val="left"/>
      <w:pPr>
        <w:ind w:left="4376" w:hanging="360"/>
      </w:pPr>
      <w:rPr>
        <w:rFonts w:ascii="Wingdings" w:hAnsi="Wingdings" w:hint="default"/>
      </w:rPr>
    </w:lvl>
    <w:lvl w:ilvl="6" w:tplc="04050001" w:tentative="1">
      <w:start w:val="1"/>
      <w:numFmt w:val="bullet"/>
      <w:lvlText w:val=""/>
      <w:lvlJc w:val="left"/>
      <w:pPr>
        <w:ind w:left="5096" w:hanging="360"/>
      </w:pPr>
      <w:rPr>
        <w:rFonts w:ascii="Symbol" w:hAnsi="Symbol" w:hint="default"/>
      </w:rPr>
    </w:lvl>
    <w:lvl w:ilvl="7" w:tplc="04050003" w:tentative="1">
      <w:start w:val="1"/>
      <w:numFmt w:val="bullet"/>
      <w:lvlText w:val="o"/>
      <w:lvlJc w:val="left"/>
      <w:pPr>
        <w:ind w:left="5816" w:hanging="360"/>
      </w:pPr>
      <w:rPr>
        <w:rFonts w:ascii="Courier New" w:hAnsi="Courier New" w:cs="Courier New" w:hint="default"/>
      </w:rPr>
    </w:lvl>
    <w:lvl w:ilvl="8" w:tplc="04050005" w:tentative="1">
      <w:start w:val="1"/>
      <w:numFmt w:val="bullet"/>
      <w:lvlText w:val=""/>
      <w:lvlJc w:val="left"/>
      <w:pPr>
        <w:ind w:left="6536" w:hanging="360"/>
      </w:pPr>
      <w:rPr>
        <w:rFonts w:ascii="Wingdings" w:hAnsi="Wingdings" w:hint="default"/>
      </w:rPr>
    </w:lvl>
  </w:abstractNum>
  <w:abstractNum w:abstractNumId="25" w15:restartNumberingAfterBreak="0">
    <w:nsid w:val="47775890"/>
    <w:multiLevelType w:val="hybridMultilevel"/>
    <w:tmpl w:val="AD0C35F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4B2660"/>
    <w:multiLevelType w:val="hybridMultilevel"/>
    <w:tmpl w:val="B226FC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73671C"/>
    <w:multiLevelType w:val="hybridMultilevel"/>
    <w:tmpl w:val="EA6A8FB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AB21BF"/>
    <w:multiLevelType w:val="hybridMultilevel"/>
    <w:tmpl w:val="898EB23C"/>
    <w:lvl w:ilvl="0" w:tplc="3A7CEF2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F4C6320"/>
    <w:multiLevelType w:val="hybridMultilevel"/>
    <w:tmpl w:val="3BEC41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58069F"/>
    <w:multiLevelType w:val="hybridMultilevel"/>
    <w:tmpl w:val="60F06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2845BB"/>
    <w:multiLevelType w:val="hybridMultilevel"/>
    <w:tmpl w:val="A91C38E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077042"/>
    <w:multiLevelType w:val="hybridMultilevel"/>
    <w:tmpl w:val="C5746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F10253E"/>
    <w:multiLevelType w:val="hybridMultilevel"/>
    <w:tmpl w:val="E728A9F0"/>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05A2627"/>
    <w:multiLevelType w:val="hybridMultilevel"/>
    <w:tmpl w:val="A060181A"/>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123AA6"/>
    <w:multiLevelType w:val="hybridMultilevel"/>
    <w:tmpl w:val="58A2A8B2"/>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1C87C7F"/>
    <w:multiLevelType w:val="hybridMultilevel"/>
    <w:tmpl w:val="F29E536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3A61837"/>
    <w:multiLevelType w:val="hybridMultilevel"/>
    <w:tmpl w:val="7C28795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42E744D"/>
    <w:multiLevelType w:val="hybridMultilevel"/>
    <w:tmpl w:val="E98C3434"/>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60105DC"/>
    <w:multiLevelType w:val="hybridMultilevel"/>
    <w:tmpl w:val="F010550C"/>
    <w:lvl w:ilvl="0" w:tplc="A306BA80">
      <w:start w:val="1"/>
      <w:numFmt w:val="bullet"/>
      <w:lvlText w:val=""/>
      <w:lvlJc w:val="left"/>
      <w:pPr>
        <w:ind w:left="4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A2553A5"/>
    <w:multiLevelType w:val="hybridMultilevel"/>
    <w:tmpl w:val="5D7A781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AFB793A"/>
    <w:multiLevelType w:val="hybridMultilevel"/>
    <w:tmpl w:val="E460FD2E"/>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6F3092"/>
    <w:multiLevelType w:val="hybridMultilevel"/>
    <w:tmpl w:val="2194A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EF20D28"/>
    <w:multiLevelType w:val="hybridMultilevel"/>
    <w:tmpl w:val="3EBE5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BE77BE"/>
    <w:multiLevelType w:val="hybridMultilevel"/>
    <w:tmpl w:val="E7009B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5411C0B"/>
    <w:multiLevelType w:val="hybridMultilevel"/>
    <w:tmpl w:val="EB76CAE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7E055FFC"/>
    <w:multiLevelType w:val="hybridMultilevel"/>
    <w:tmpl w:val="169A766C"/>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77495A"/>
    <w:multiLevelType w:val="hybridMultilevel"/>
    <w:tmpl w:val="82208898"/>
    <w:lvl w:ilvl="0" w:tplc="A306BA80">
      <w:start w:val="1"/>
      <w:numFmt w:val="bullet"/>
      <w:lvlText w:val=""/>
      <w:lvlJc w:val="left"/>
      <w:pPr>
        <w:ind w:left="720" w:hanging="360"/>
      </w:pPr>
      <w:rPr>
        <w:rFonts w:ascii="Symbol" w:hAnsi="Symbol" w:hint="default"/>
        <w:color w:val="17365D" w:themeColor="text2"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5"/>
  </w:num>
  <w:num w:numId="6">
    <w:abstractNumId w:val="18"/>
  </w:num>
  <w:num w:numId="7">
    <w:abstractNumId w:val="35"/>
  </w:num>
  <w:num w:numId="8">
    <w:abstractNumId w:val="4"/>
  </w:num>
  <w:num w:numId="9">
    <w:abstractNumId w:val="13"/>
  </w:num>
  <w:num w:numId="10">
    <w:abstractNumId w:val="19"/>
  </w:num>
  <w:num w:numId="11">
    <w:abstractNumId w:val="14"/>
  </w:num>
  <w:num w:numId="12">
    <w:abstractNumId w:val="7"/>
  </w:num>
  <w:num w:numId="13">
    <w:abstractNumId w:val="11"/>
  </w:num>
  <w:num w:numId="14">
    <w:abstractNumId w:val="31"/>
  </w:num>
  <w:num w:numId="15">
    <w:abstractNumId w:val="34"/>
  </w:num>
  <w:num w:numId="16">
    <w:abstractNumId w:val="46"/>
  </w:num>
  <w:num w:numId="17">
    <w:abstractNumId w:val="47"/>
  </w:num>
  <w:num w:numId="18">
    <w:abstractNumId w:val="38"/>
  </w:num>
  <w:num w:numId="19">
    <w:abstractNumId w:val="6"/>
  </w:num>
  <w:num w:numId="20">
    <w:abstractNumId w:val="33"/>
  </w:num>
  <w:num w:numId="21">
    <w:abstractNumId w:val="40"/>
  </w:num>
  <w:num w:numId="22">
    <w:abstractNumId w:val="36"/>
  </w:num>
  <w:num w:numId="23">
    <w:abstractNumId w:val="28"/>
  </w:num>
  <w:num w:numId="24">
    <w:abstractNumId w:val="39"/>
  </w:num>
  <w:num w:numId="25">
    <w:abstractNumId w:val="3"/>
  </w:num>
  <w:num w:numId="26">
    <w:abstractNumId w:val="24"/>
  </w:num>
  <w:num w:numId="27">
    <w:abstractNumId w:val="8"/>
  </w:num>
  <w:num w:numId="28">
    <w:abstractNumId w:val="20"/>
  </w:num>
  <w:num w:numId="29">
    <w:abstractNumId w:val="12"/>
  </w:num>
  <w:num w:numId="30">
    <w:abstractNumId w:val="41"/>
  </w:num>
  <w:num w:numId="31">
    <w:abstractNumId w:val="37"/>
  </w:num>
  <w:num w:numId="32">
    <w:abstractNumId w:val="27"/>
  </w:num>
  <w:num w:numId="33">
    <w:abstractNumId w:val="17"/>
  </w:num>
  <w:num w:numId="34">
    <w:abstractNumId w:val="25"/>
  </w:num>
  <w:num w:numId="35">
    <w:abstractNumId w:val="0"/>
  </w:num>
  <w:num w:numId="36">
    <w:abstractNumId w:val="43"/>
  </w:num>
  <w:num w:numId="37">
    <w:abstractNumId w:val="30"/>
  </w:num>
  <w:num w:numId="38">
    <w:abstractNumId w:val="23"/>
  </w:num>
  <w:num w:numId="39">
    <w:abstractNumId w:val="44"/>
  </w:num>
  <w:num w:numId="40">
    <w:abstractNumId w:val="21"/>
  </w:num>
  <w:num w:numId="41">
    <w:abstractNumId w:val="32"/>
  </w:num>
  <w:num w:numId="42">
    <w:abstractNumId w:val="9"/>
  </w:num>
  <w:num w:numId="43">
    <w:abstractNumId w:val="29"/>
  </w:num>
  <w:num w:numId="44">
    <w:abstractNumId w:val="26"/>
  </w:num>
  <w:num w:numId="45">
    <w:abstractNumId w:val="22"/>
  </w:num>
  <w:num w:numId="46">
    <w:abstractNumId w:val="2"/>
  </w:num>
  <w:num w:numId="47">
    <w:abstractNumId w:val="42"/>
  </w:num>
  <w:num w:numId="48">
    <w:abstractNumId w:val="1"/>
  </w:num>
  <w:num w:numId="49">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EF"/>
    <w:rsid w:val="0000001F"/>
    <w:rsid w:val="00001673"/>
    <w:rsid w:val="000055BA"/>
    <w:rsid w:val="000119E5"/>
    <w:rsid w:val="000128E7"/>
    <w:rsid w:val="0001468F"/>
    <w:rsid w:val="000151F2"/>
    <w:rsid w:val="00017990"/>
    <w:rsid w:val="00017BE0"/>
    <w:rsid w:val="000204CD"/>
    <w:rsid w:val="00021752"/>
    <w:rsid w:val="00021877"/>
    <w:rsid w:val="00025604"/>
    <w:rsid w:val="00025982"/>
    <w:rsid w:val="00027315"/>
    <w:rsid w:val="000307AF"/>
    <w:rsid w:val="0003245B"/>
    <w:rsid w:val="00032743"/>
    <w:rsid w:val="00034429"/>
    <w:rsid w:val="0003593A"/>
    <w:rsid w:val="000379C3"/>
    <w:rsid w:val="000407DA"/>
    <w:rsid w:val="0004093B"/>
    <w:rsid w:val="00040A6E"/>
    <w:rsid w:val="00041D6D"/>
    <w:rsid w:val="00051F4B"/>
    <w:rsid w:val="00052997"/>
    <w:rsid w:val="0005360D"/>
    <w:rsid w:val="00053D23"/>
    <w:rsid w:val="00053EE8"/>
    <w:rsid w:val="00055909"/>
    <w:rsid w:val="00055B93"/>
    <w:rsid w:val="00056115"/>
    <w:rsid w:val="00057B28"/>
    <w:rsid w:val="00063D28"/>
    <w:rsid w:val="000642C1"/>
    <w:rsid w:val="000643A7"/>
    <w:rsid w:val="00070FBE"/>
    <w:rsid w:val="00072F05"/>
    <w:rsid w:val="00072F9A"/>
    <w:rsid w:val="000736D1"/>
    <w:rsid w:val="00077E7F"/>
    <w:rsid w:val="000831E1"/>
    <w:rsid w:val="00085B8E"/>
    <w:rsid w:val="00096AE9"/>
    <w:rsid w:val="000A2838"/>
    <w:rsid w:val="000A5921"/>
    <w:rsid w:val="000A62FA"/>
    <w:rsid w:val="000A7130"/>
    <w:rsid w:val="000A798E"/>
    <w:rsid w:val="000B06A1"/>
    <w:rsid w:val="000B2F14"/>
    <w:rsid w:val="000C09C5"/>
    <w:rsid w:val="000C2ED3"/>
    <w:rsid w:val="000D1B89"/>
    <w:rsid w:val="000D1CCB"/>
    <w:rsid w:val="000D6655"/>
    <w:rsid w:val="000E1C01"/>
    <w:rsid w:val="000E7318"/>
    <w:rsid w:val="000F3912"/>
    <w:rsid w:val="000F5D98"/>
    <w:rsid w:val="000F7130"/>
    <w:rsid w:val="00102630"/>
    <w:rsid w:val="001039D2"/>
    <w:rsid w:val="0010586A"/>
    <w:rsid w:val="0010675A"/>
    <w:rsid w:val="00115E71"/>
    <w:rsid w:val="00116DB7"/>
    <w:rsid w:val="00117818"/>
    <w:rsid w:val="001230E6"/>
    <w:rsid w:val="00123F2B"/>
    <w:rsid w:val="001276A4"/>
    <w:rsid w:val="00132BE7"/>
    <w:rsid w:val="00134505"/>
    <w:rsid w:val="00144DAB"/>
    <w:rsid w:val="00147D71"/>
    <w:rsid w:val="00157DBF"/>
    <w:rsid w:val="00162A6A"/>
    <w:rsid w:val="001729AC"/>
    <w:rsid w:val="00175202"/>
    <w:rsid w:val="00175FDA"/>
    <w:rsid w:val="0018510F"/>
    <w:rsid w:val="00186633"/>
    <w:rsid w:val="00186667"/>
    <w:rsid w:val="00187412"/>
    <w:rsid w:val="001A7BD6"/>
    <w:rsid w:val="001B37C9"/>
    <w:rsid w:val="001C3864"/>
    <w:rsid w:val="001C58D7"/>
    <w:rsid w:val="001C5DF2"/>
    <w:rsid w:val="001D1E47"/>
    <w:rsid w:val="001D2BD7"/>
    <w:rsid w:val="001D7BF2"/>
    <w:rsid w:val="001E331A"/>
    <w:rsid w:val="001E49FD"/>
    <w:rsid w:val="001E5730"/>
    <w:rsid w:val="001F4554"/>
    <w:rsid w:val="001F50BB"/>
    <w:rsid w:val="001F5C52"/>
    <w:rsid w:val="00200B0A"/>
    <w:rsid w:val="002014FF"/>
    <w:rsid w:val="00202989"/>
    <w:rsid w:val="002103AA"/>
    <w:rsid w:val="00213121"/>
    <w:rsid w:val="002145D1"/>
    <w:rsid w:val="00222BC4"/>
    <w:rsid w:val="00222C28"/>
    <w:rsid w:val="0022351B"/>
    <w:rsid w:val="00223F38"/>
    <w:rsid w:val="00231097"/>
    <w:rsid w:val="00241C23"/>
    <w:rsid w:val="00245332"/>
    <w:rsid w:val="00251AB4"/>
    <w:rsid w:val="0025503C"/>
    <w:rsid w:val="00261D9F"/>
    <w:rsid w:val="00265246"/>
    <w:rsid w:val="00272C67"/>
    <w:rsid w:val="00274D8A"/>
    <w:rsid w:val="00275257"/>
    <w:rsid w:val="00276D3C"/>
    <w:rsid w:val="00291CF7"/>
    <w:rsid w:val="00295507"/>
    <w:rsid w:val="00296782"/>
    <w:rsid w:val="0029715C"/>
    <w:rsid w:val="002A1DE6"/>
    <w:rsid w:val="002A270C"/>
    <w:rsid w:val="002A3FC7"/>
    <w:rsid w:val="002A5ED7"/>
    <w:rsid w:val="002B0D34"/>
    <w:rsid w:val="002B12BA"/>
    <w:rsid w:val="002B1D2D"/>
    <w:rsid w:val="002B1E37"/>
    <w:rsid w:val="002C7341"/>
    <w:rsid w:val="002D1908"/>
    <w:rsid w:val="002D2809"/>
    <w:rsid w:val="002D7F64"/>
    <w:rsid w:val="002E2A31"/>
    <w:rsid w:val="002F4F7D"/>
    <w:rsid w:val="002F7518"/>
    <w:rsid w:val="003039A2"/>
    <w:rsid w:val="0030483C"/>
    <w:rsid w:val="00304A4D"/>
    <w:rsid w:val="003071E8"/>
    <w:rsid w:val="00313A55"/>
    <w:rsid w:val="00315490"/>
    <w:rsid w:val="00316A2B"/>
    <w:rsid w:val="003205D7"/>
    <w:rsid w:val="00320855"/>
    <w:rsid w:val="00323D54"/>
    <w:rsid w:val="00324CCC"/>
    <w:rsid w:val="00327D78"/>
    <w:rsid w:val="0033007C"/>
    <w:rsid w:val="00330617"/>
    <w:rsid w:val="00331062"/>
    <w:rsid w:val="00333991"/>
    <w:rsid w:val="003375D2"/>
    <w:rsid w:val="003415B0"/>
    <w:rsid w:val="00346FD9"/>
    <w:rsid w:val="00347A93"/>
    <w:rsid w:val="00350057"/>
    <w:rsid w:val="003555B6"/>
    <w:rsid w:val="003556A5"/>
    <w:rsid w:val="00360102"/>
    <w:rsid w:val="00364534"/>
    <w:rsid w:val="00364E3B"/>
    <w:rsid w:val="003650CF"/>
    <w:rsid w:val="00367F88"/>
    <w:rsid w:val="0037235E"/>
    <w:rsid w:val="00374BDB"/>
    <w:rsid w:val="00380A4D"/>
    <w:rsid w:val="003812C2"/>
    <w:rsid w:val="00385587"/>
    <w:rsid w:val="00386512"/>
    <w:rsid w:val="00391729"/>
    <w:rsid w:val="00391946"/>
    <w:rsid w:val="003937AF"/>
    <w:rsid w:val="00394C5A"/>
    <w:rsid w:val="00396E83"/>
    <w:rsid w:val="003B4990"/>
    <w:rsid w:val="003B4FF9"/>
    <w:rsid w:val="003B69A3"/>
    <w:rsid w:val="003C34B4"/>
    <w:rsid w:val="003C3D97"/>
    <w:rsid w:val="003D58FC"/>
    <w:rsid w:val="003D63D7"/>
    <w:rsid w:val="003E08DC"/>
    <w:rsid w:val="003F4F53"/>
    <w:rsid w:val="00400CC7"/>
    <w:rsid w:val="00402452"/>
    <w:rsid w:val="00402D3E"/>
    <w:rsid w:val="00403410"/>
    <w:rsid w:val="004108B6"/>
    <w:rsid w:val="00415A3C"/>
    <w:rsid w:val="00415BB3"/>
    <w:rsid w:val="004170DF"/>
    <w:rsid w:val="00420A84"/>
    <w:rsid w:val="004233F1"/>
    <w:rsid w:val="004254AD"/>
    <w:rsid w:val="00426604"/>
    <w:rsid w:val="004354C0"/>
    <w:rsid w:val="004356F9"/>
    <w:rsid w:val="00445354"/>
    <w:rsid w:val="00450C28"/>
    <w:rsid w:val="00455E6D"/>
    <w:rsid w:val="00462702"/>
    <w:rsid w:val="00463C82"/>
    <w:rsid w:val="00464FD3"/>
    <w:rsid w:val="00473F0D"/>
    <w:rsid w:val="00481165"/>
    <w:rsid w:val="0048212A"/>
    <w:rsid w:val="0048428B"/>
    <w:rsid w:val="00485B89"/>
    <w:rsid w:val="00491666"/>
    <w:rsid w:val="00491912"/>
    <w:rsid w:val="004940B5"/>
    <w:rsid w:val="004961BB"/>
    <w:rsid w:val="004963C7"/>
    <w:rsid w:val="004A18E8"/>
    <w:rsid w:val="004A2C13"/>
    <w:rsid w:val="004A45BA"/>
    <w:rsid w:val="004B342E"/>
    <w:rsid w:val="004B4F14"/>
    <w:rsid w:val="004B63C4"/>
    <w:rsid w:val="004B6DF6"/>
    <w:rsid w:val="004C2C7C"/>
    <w:rsid w:val="004D224A"/>
    <w:rsid w:val="004D492A"/>
    <w:rsid w:val="004D613D"/>
    <w:rsid w:val="004E666D"/>
    <w:rsid w:val="004E7FD9"/>
    <w:rsid w:val="004F0992"/>
    <w:rsid w:val="004F0D6B"/>
    <w:rsid w:val="004F31F8"/>
    <w:rsid w:val="004F605A"/>
    <w:rsid w:val="004F60E1"/>
    <w:rsid w:val="004F7313"/>
    <w:rsid w:val="00502088"/>
    <w:rsid w:val="0050280B"/>
    <w:rsid w:val="005043BE"/>
    <w:rsid w:val="005056BD"/>
    <w:rsid w:val="005056F7"/>
    <w:rsid w:val="00513C33"/>
    <w:rsid w:val="00514011"/>
    <w:rsid w:val="00515F0E"/>
    <w:rsid w:val="0051689D"/>
    <w:rsid w:val="00523D9F"/>
    <w:rsid w:val="00525020"/>
    <w:rsid w:val="00531F77"/>
    <w:rsid w:val="00534474"/>
    <w:rsid w:val="00536F61"/>
    <w:rsid w:val="00537EDB"/>
    <w:rsid w:val="0054080F"/>
    <w:rsid w:val="00543120"/>
    <w:rsid w:val="00543FFF"/>
    <w:rsid w:val="00547345"/>
    <w:rsid w:val="00552366"/>
    <w:rsid w:val="005558E2"/>
    <w:rsid w:val="00562A51"/>
    <w:rsid w:val="00565357"/>
    <w:rsid w:val="005661D6"/>
    <w:rsid w:val="00580400"/>
    <w:rsid w:val="00595358"/>
    <w:rsid w:val="00595736"/>
    <w:rsid w:val="005A104B"/>
    <w:rsid w:val="005A29D1"/>
    <w:rsid w:val="005A4C88"/>
    <w:rsid w:val="005B09FC"/>
    <w:rsid w:val="005B3057"/>
    <w:rsid w:val="005B571A"/>
    <w:rsid w:val="005B6065"/>
    <w:rsid w:val="005C2C0B"/>
    <w:rsid w:val="005D3084"/>
    <w:rsid w:val="005D4446"/>
    <w:rsid w:val="005E0083"/>
    <w:rsid w:val="005E21C3"/>
    <w:rsid w:val="005E2907"/>
    <w:rsid w:val="005E4359"/>
    <w:rsid w:val="005E485F"/>
    <w:rsid w:val="005E67E2"/>
    <w:rsid w:val="005E78D3"/>
    <w:rsid w:val="005E791A"/>
    <w:rsid w:val="005F559A"/>
    <w:rsid w:val="005F5B43"/>
    <w:rsid w:val="005F7D30"/>
    <w:rsid w:val="00600248"/>
    <w:rsid w:val="00600E94"/>
    <w:rsid w:val="006019CF"/>
    <w:rsid w:val="0060215E"/>
    <w:rsid w:val="00604785"/>
    <w:rsid w:val="0060651A"/>
    <w:rsid w:val="00607BAF"/>
    <w:rsid w:val="006146C5"/>
    <w:rsid w:val="00620484"/>
    <w:rsid w:val="00624AF7"/>
    <w:rsid w:val="006300FF"/>
    <w:rsid w:val="00634D17"/>
    <w:rsid w:val="00642A0C"/>
    <w:rsid w:val="00642C20"/>
    <w:rsid w:val="00645CE0"/>
    <w:rsid w:val="00650C6D"/>
    <w:rsid w:val="00652508"/>
    <w:rsid w:val="006536B6"/>
    <w:rsid w:val="0067049D"/>
    <w:rsid w:val="0067064C"/>
    <w:rsid w:val="00672C19"/>
    <w:rsid w:val="00674E78"/>
    <w:rsid w:val="00675A13"/>
    <w:rsid w:val="00681572"/>
    <w:rsid w:val="00683529"/>
    <w:rsid w:val="00683C35"/>
    <w:rsid w:val="006841FC"/>
    <w:rsid w:val="006A180C"/>
    <w:rsid w:val="006A3185"/>
    <w:rsid w:val="006A6B46"/>
    <w:rsid w:val="006B0CAA"/>
    <w:rsid w:val="006B24C9"/>
    <w:rsid w:val="006C190B"/>
    <w:rsid w:val="006C2CCA"/>
    <w:rsid w:val="006D5813"/>
    <w:rsid w:val="006D753A"/>
    <w:rsid w:val="006E7DF5"/>
    <w:rsid w:val="006F1281"/>
    <w:rsid w:val="006F1572"/>
    <w:rsid w:val="006F2AEE"/>
    <w:rsid w:val="006F51DC"/>
    <w:rsid w:val="006F5CE5"/>
    <w:rsid w:val="00701638"/>
    <w:rsid w:val="0070175A"/>
    <w:rsid w:val="00710B2A"/>
    <w:rsid w:val="00712F7A"/>
    <w:rsid w:val="007159DB"/>
    <w:rsid w:val="00717A54"/>
    <w:rsid w:val="00717D40"/>
    <w:rsid w:val="00724A35"/>
    <w:rsid w:val="00727C14"/>
    <w:rsid w:val="0073713F"/>
    <w:rsid w:val="00744AA2"/>
    <w:rsid w:val="00745A54"/>
    <w:rsid w:val="00745FC7"/>
    <w:rsid w:val="00752CA3"/>
    <w:rsid w:val="007547E6"/>
    <w:rsid w:val="00754CE7"/>
    <w:rsid w:val="00763D3D"/>
    <w:rsid w:val="0076497C"/>
    <w:rsid w:val="007727FA"/>
    <w:rsid w:val="00774D5B"/>
    <w:rsid w:val="007913F5"/>
    <w:rsid w:val="00792878"/>
    <w:rsid w:val="0079511C"/>
    <w:rsid w:val="007A2CA3"/>
    <w:rsid w:val="007B22A6"/>
    <w:rsid w:val="007B24A9"/>
    <w:rsid w:val="007B4A22"/>
    <w:rsid w:val="007B67E5"/>
    <w:rsid w:val="007C44A3"/>
    <w:rsid w:val="007C53BC"/>
    <w:rsid w:val="007D157B"/>
    <w:rsid w:val="007F47B1"/>
    <w:rsid w:val="007F5B58"/>
    <w:rsid w:val="007F5E29"/>
    <w:rsid w:val="007F64D6"/>
    <w:rsid w:val="007F7934"/>
    <w:rsid w:val="008022F7"/>
    <w:rsid w:val="0080275D"/>
    <w:rsid w:val="0080289F"/>
    <w:rsid w:val="00807A85"/>
    <w:rsid w:val="008104BD"/>
    <w:rsid w:val="008142D1"/>
    <w:rsid w:val="00814A42"/>
    <w:rsid w:val="008159DF"/>
    <w:rsid w:val="00826437"/>
    <w:rsid w:val="00831D37"/>
    <w:rsid w:val="008344D6"/>
    <w:rsid w:val="008346F5"/>
    <w:rsid w:val="0083479B"/>
    <w:rsid w:val="00841432"/>
    <w:rsid w:val="00842BCB"/>
    <w:rsid w:val="00847DD8"/>
    <w:rsid w:val="008521C0"/>
    <w:rsid w:val="00852E2E"/>
    <w:rsid w:val="00856F35"/>
    <w:rsid w:val="00862B4E"/>
    <w:rsid w:val="00873FF5"/>
    <w:rsid w:val="00874203"/>
    <w:rsid w:val="0087492C"/>
    <w:rsid w:val="008775B3"/>
    <w:rsid w:val="00880629"/>
    <w:rsid w:val="00881939"/>
    <w:rsid w:val="008872DC"/>
    <w:rsid w:val="008A0583"/>
    <w:rsid w:val="008A1286"/>
    <w:rsid w:val="008A1B00"/>
    <w:rsid w:val="008A422E"/>
    <w:rsid w:val="008A4B19"/>
    <w:rsid w:val="008A624C"/>
    <w:rsid w:val="008A7622"/>
    <w:rsid w:val="008B1898"/>
    <w:rsid w:val="008B194D"/>
    <w:rsid w:val="008B6C93"/>
    <w:rsid w:val="008C3232"/>
    <w:rsid w:val="008C73BB"/>
    <w:rsid w:val="008D00FD"/>
    <w:rsid w:val="008D36E1"/>
    <w:rsid w:val="008D3DE3"/>
    <w:rsid w:val="008E66E0"/>
    <w:rsid w:val="008F117C"/>
    <w:rsid w:val="008F27A9"/>
    <w:rsid w:val="008F2AAD"/>
    <w:rsid w:val="008F2B23"/>
    <w:rsid w:val="008F7607"/>
    <w:rsid w:val="008F7C22"/>
    <w:rsid w:val="00901D07"/>
    <w:rsid w:val="00906399"/>
    <w:rsid w:val="0091276F"/>
    <w:rsid w:val="0091306F"/>
    <w:rsid w:val="0091337D"/>
    <w:rsid w:val="00916D41"/>
    <w:rsid w:val="009201EF"/>
    <w:rsid w:val="00922BB7"/>
    <w:rsid w:val="00925957"/>
    <w:rsid w:val="00930910"/>
    <w:rsid w:val="00931A90"/>
    <w:rsid w:val="00933FF3"/>
    <w:rsid w:val="00941AAF"/>
    <w:rsid w:val="009422F9"/>
    <w:rsid w:val="0095061F"/>
    <w:rsid w:val="00954D79"/>
    <w:rsid w:val="009560E4"/>
    <w:rsid w:val="00956E81"/>
    <w:rsid w:val="00960FFD"/>
    <w:rsid w:val="009639DC"/>
    <w:rsid w:val="009647D4"/>
    <w:rsid w:val="00967F9F"/>
    <w:rsid w:val="00970F06"/>
    <w:rsid w:val="009723E9"/>
    <w:rsid w:val="00975020"/>
    <w:rsid w:val="00975444"/>
    <w:rsid w:val="00977A17"/>
    <w:rsid w:val="00987E97"/>
    <w:rsid w:val="00995203"/>
    <w:rsid w:val="009A08AB"/>
    <w:rsid w:val="009B10F6"/>
    <w:rsid w:val="009B380E"/>
    <w:rsid w:val="009C24DC"/>
    <w:rsid w:val="009C57AA"/>
    <w:rsid w:val="009C5D5D"/>
    <w:rsid w:val="009D0BEB"/>
    <w:rsid w:val="009D0EDB"/>
    <w:rsid w:val="009D173F"/>
    <w:rsid w:val="009D256B"/>
    <w:rsid w:val="009D5649"/>
    <w:rsid w:val="009D70D1"/>
    <w:rsid w:val="009D770C"/>
    <w:rsid w:val="009E2BB9"/>
    <w:rsid w:val="009E4677"/>
    <w:rsid w:val="009E4C1D"/>
    <w:rsid w:val="009E5C85"/>
    <w:rsid w:val="009E62EF"/>
    <w:rsid w:val="009F2945"/>
    <w:rsid w:val="009F3D75"/>
    <w:rsid w:val="009F4550"/>
    <w:rsid w:val="009F5206"/>
    <w:rsid w:val="009F54A6"/>
    <w:rsid w:val="00A111A5"/>
    <w:rsid w:val="00A1207A"/>
    <w:rsid w:val="00A12362"/>
    <w:rsid w:val="00A1402F"/>
    <w:rsid w:val="00A16C0F"/>
    <w:rsid w:val="00A17D84"/>
    <w:rsid w:val="00A35F11"/>
    <w:rsid w:val="00A51012"/>
    <w:rsid w:val="00A53B17"/>
    <w:rsid w:val="00A564CC"/>
    <w:rsid w:val="00A56ABF"/>
    <w:rsid w:val="00A60737"/>
    <w:rsid w:val="00A638E4"/>
    <w:rsid w:val="00A6503E"/>
    <w:rsid w:val="00A65539"/>
    <w:rsid w:val="00A65D8D"/>
    <w:rsid w:val="00A67199"/>
    <w:rsid w:val="00A67D5C"/>
    <w:rsid w:val="00A7022B"/>
    <w:rsid w:val="00A74A78"/>
    <w:rsid w:val="00A7563C"/>
    <w:rsid w:val="00A77124"/>
    <w:rsid w:val="00A84392"/>
    <w:rsid w:val="00A906C0"/>
    <w:rsid w:val="00A909D4"/>
    <w:rsid w:val="00A92ADD"/>
    <w:rsid w:val="00A92F34"/>
    <w:rsid w:val="00A94E1D"/>
    <w:rsid w:val="00A9743E"/>
    <w:rsid w:val="00AA0BAA"/>
    <w:rsid w:val="00AB1937"/>
    <w:rsid w:val="00AC0E5D"/>
    <w:rsid w:val="00AC642C"/>
    <w:rsid w:val="00AC6695"/>
    <w:rsid w:val="00AD1E4D"/>
    <w:rsid w:val="00AD2338"/>
    <w:rsid w:val="00AD4312"/>
    <w:rsid w:val="00AD5836"/>
    <w:rsid w:val="00AD7DA1"/>
    <w:rsid w:val="00AE4B5C"/>
    <w:rsid w:val="00AE6614"/>
    <w:rsid w:val="00AF0616"/>
    <w:rsid w:val="00AF67C2"/>
    <w:rsid w:val="00B164E6"/>
    <w:rsid w:val="00B21709"/>
    <w:rsid w:val="00B23B18"/>
    <w:rsid w:val="00B24A69"/>
    <w:rsid w:val="00B26269"/>
    <w:rsid w:val="00B35EAB"/>
    <w:rsid w:val="00B405ED"/>
    <w:rsid w:val="00B42E1F"/>
    <w:rsid w:val="00B43E37"/>
    <w:rsid w:val="00B45F66"/>
    <w:rsid w:val="00B45FBB"/>
    <w:rsid w:val="00B47C10"/>
    <w:rsid w:val="00B51CB0"/>
    <w:rsid w:val="00B528F4"/>
    <w:rsid w:val="00B53BF7"/>
    <w:rsid w:val="00B6398A"/>
    <w:rsid w:val="00B75BF5"/>
    <w:rsid w:val="00B7644D"/>
    <w:rsid w:val="00B7706B"/>
    <w:rsid w:val="00B77ED9"/>
    <w:rsid w:val="00B80BA7"/>
    <w:rsid w:val="00B948C3"/>
    <w:rsid w:val="00B9674F"/>
    <w:rsid w:val="00B97482"/>
    <w:rsid w:val="00BA5AA7"/>
    <w:rsid w:val="00BA6AAA"/>
    <w:rsid w:val="00BB043F"/>
    <w:rsid w:val="00BB2283"/>
    <w:rsid w:val="00BC3FA3"/>
    <w:rsid w:val="00BD012C"/>
    <w:rsid w:val="00BD2888"/>
    <w:rsid w:val="00BD7109"/>
    <w:rsid w:val="00BE1184"/>
    <w:rsid w:val="00BE7415"/>
    <w:rsid w:val="00BF4BB7"/>
    <w:rsid w:val="00C04F70"/>
    <w:rsid w:val="00C10F68"/>
    <w:rsid w:val="00C14190"/>
    <w:rsid w:val="00C16500"/>
    <w:rsid w:val="00C1685B"/>
    <w:rsid w:val="00C23C71"/>
    <w:rsid w:val="00C278E0"/>
    <w:rsid w:val="00C34260"/>
    <w:rsid w:val="00C351A5"/>
    <w:rsid w:val="00C36BB6"/>
    <w:rsid w:val="00C44D7C"/>
    <w:rsid w:val="00C52C72"/>
    <w:rsid w:val="00C54F5A"/>
    <w:rsid w:val="00C618A7"/>
    <w:rsid w:val="00C650EB"/>
    <w:rsid w:val="00C65BE3"/>
    <w:rsid w:val="00C66567"/>
    <w:rsid w:val="00C70981"/>
    <w:rsid w:val="00C726B8"/>
    <w:rsid w:val="00C72C43"/>
    <w:rsid w:val="00C72CE7"/>
    <w:rsid w:val="00C7463C"/>
    <w:rsid w:val="00C807B3"/>
    <w:rsid w:val="00C80C74"/>
    <w:rsid w:val="00C842F4"/>
    <w:rsid w:val="00C85693"/>
    <w:rsid w:val="00C87835"/>
    <w:rsid w:val="00C9207E"/>
    <w:rsid w:val="00C92595"/>
    <w:rsid w:val="00C97043"/>
    <w:rsid w:val="00CA29A0"/>
    <w:rsid w:val="00CA2B92"/>
    <w:rsid w:val="00CA37DF"/>
    <w:rsid w:val="00CA647A"/>
    <w:rsid w:val="00CA7695"/>
    <w:rsid w:val="00CB08EF"/>
    <w:rsid w:val="00CB1C10"/>
    <w:rsid w:val="00CB2144"/>
    <w:rsid w:val="00CC17C7"/>
    <w:rsid w:val="00CC2F62"/>
    <w:rsid w:val="00CD54A0"/>
    <w:rsid w:val="00CE7200"/>
    <w:rsid w:val="00CE732D"/>
    <w:rsid w:val="00CE7993"/>
    <w:rsid w:val="00CF585B"/>
    <w:rsid w:val="00D061B0"/>
    <w:rsid w:val="00D10616"/>
    <w:rsid w:val="00D10635"/>
    <w:rsid w:val="00D10B0C"/>
    <w:rsid w:val="00D11C78"/>
    <w:rsid w:val="00D135E1"/>
    <w:rsid w:val="00D1495D"/>
    <w:rsid w:val="00D14E63"/>
    <w:rsid w:val="00D168DC"/>
    <w:rsid w:val="00D20377"/>
    <w:rsid w:val="00D22414"/>
    <w:rsid w:val="00D248F3"/>
    <w:rsid w:val="00D24BC1"/>
    <w:rsid w:val="00D24C1D"/>
    <w:rsid w:val="00D26FF6"/>
    <w:rsid w:val="00D30B1D"/>
    <w:rsid w:val="00D34E21"/>
    <w:rsid w:val="00D3536A"/>
    <w:rsid w:val="00D362A2"/>
    <w:rsid w:val="00D36F52"/>
    <w:rsid w:val="00D37D1D"/>
    <w:rsid w:val="00D40852"/>
    <w:rsid w:val="00D50CF1"/>
    <w:rsid w:val="00D51B22"/>
    <w:rsid w:val="00D53B7A"/>
    <w:rsid w:val="00D56253"/>
    <w:rsid w:val="00D614EC"/>
    <w:rsid w:val="00D64F5F"/>
    <w:rsid w:val="00D66149"/>
    <w:rsid w:val="00D703CE"/>
    <w:rsid w:val="00D7174C"/>
    <w:rsid w:val="00D755BD"/>
    <w:rsid w:val="00D75FF5"/>
    <w:rsid w:val="00D84648"/>
    <w:rsid w:val="00D8576D"/>
    <w:rsid w:val="00D873C5"/>
    <w:rsid w:val="00D9245E"/>
    <w:rsid w:val="00D92D69"/>
    <w:rsid w:val="00D94F5F"/>
    <w:rsid w:val="00DA1B4B"/>
    <w:rsid w:val="00DA3180"/>
    <w:rsid w:val="00DA3F46"/>
    <w:rsid w:val="00DB39EF"/>
    <w:rsid w:val="00DC079D"/>
    <w:rsid w:val="00DD0F02"/>
    <w:rsid w:val="00DD3A95"/>
    <w:rsid w:val="00DD4F1C"/>
    <w:rsid w:val="00DD7C7E"/>
    <w:rsid w:val="00DE3CDC"/>
    <w:rsid w:val="00DE5114"/>
    <w:rsid w:val="00DE5B33"/>
    <w:rsid w:val="00DF34E3"/>
    <w:rsid w:val="00E021CE"/>
    <w:rsid w:val="00E03E73"/>
    <w:rsid w:val="00E123D9"/>
    <w:rsid w:val="00E1555C"/>
    <w:rsid w:val="00E22C94"/>
    <w:rsid w:val="00E278F7"/>
    <w:rsid w:val="00E3152F"/>
    <w:rsid w:val="00E32CFA"/>
    <w:rsid w:val="00E33E54"/>
    <w:rsid w:val="00E403D9"/>
    <w:rsid w:val="00E44522"/>
    <w:rsid w:val="00E466DE"/>
    <w:rsid w:val="00E474C4"/>
    <w:rsid w:val="00E47B21"/>
    <w:rsid w:val="00E51C85"/>
    <w:rsid w:val="00E527D0"/>
    <w:rsid w:val="00E5355F"/>
    <w:rsid w:val="00E55CF6"/>
    <w:rsid w:val="00E60386"/>
    <w:rsid w:val="00E60A4D"/>
    <w:rsid w:val="00E62F36"/>
    <w:rsid w:val="00E74F40"/>
    <w:rsid w:val="00E75466"/>
    <w:rsid w:val="00E8471F"/>
    <w:rsid w:val="00E93251"/>
    <w:rsid w:val="00E95140"/>
    <w:rsid w:val="00E97221"/>
    <w:rsid w:val="00EA08B3"/>
    <w:rsid w:val="00EA1B36"/>
    <w:rsid w:val="00EA2BE1"/>
    <w:rsid w:val="00EA3FD6"/>
    <w:rsid w:val="00EA418F"/>
    <w:rsid w:val="00EA53C7"/>
    <w:rsid w:val="00EB1C24"/>
    <w:rsid w:val="00EC11F2"/>
    <w:rsid w:val="00EC12EB"/>
    <w:rsid w:val="00ED1325"/>
    <w:rsid w:val="00ED2FDC"/>
    <w:rsid w:val="00ED6A93"/>
    <w:rsid w:val="00ED76B6"/>
    <w:rsid w:val="00ED7E47"/>
    <w:rsid w:val="00EE033A"/>
    <w:rsid w:val="00EE2DDA"/>
    <w:rsid w:val="00EE2F75"/>
    <w:rsid w:val="00EE325C"/>
    <w:rsid w:val="00EF0349"/>
    <w:rsid w:val="00EF28C3"/>
    <w:rsid w:val="00F07B5F"/>
    <w:rsid w:val="00F14218"/>
    <w:rsid w:val="00F20CFA"/>
    <w:rsid w:val="00F235D6"/>
    <w:rsid w:val="00F23BE2"/>
    <w:rsid w:val="00F3460F"/>
    <w:rsid w:val="00F42F5F"/>
    <w:rsid w:val="00F50536"/>
    <w:rsid w:val="00F505CE"/>
    <w:rsid w:val="00F5233A"/>
    <w:rsid w:val="00F5238D"/>
    <w:rsid w:val="00F52E2C"/>
    <w:rsid w:val="00F600D6"/>
    <w:rsid w:val="00F61555"/>
    <w:rsid w:val="00F64881"/>
    <w:rsid w:val="00F70F87"/>
    <w:rsid w:val="00F71502"/>
    <w:rsid w:val="00F73E95"/>
    <w:rsid w:val="00F86700"/>
    <w:rsid w:val="00F9167A"/>
    <w:rsid w:val="00F92986"/>
    <w:rsid w:val="00FA129D"/>
    <w:rsid w:val="00FA17F3"/>
    <w:rsid w:val="00FA4337"/>
    <w:rsid w:val="00FA5062"/>
    <w:rsid w:val="00FC094F"/>
    <w:rsid w:val="00FC0C2B"/>
    <w:rsid w:val="00FD0494"/>
    <w:rsid w:val="00FD0EF3"/>
    <w:rsid w:val="00FD1D25"/>
    <w:rsid w:val="00FD4E2F"/>
    <w:rsid w:val="00FE0529"/>
    <w:rsid w:val="00FF3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BA81ED-7F13-448E-ABFB-F2007235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3121"/>
  </w:style>
  <w:style w:type="paragraph" w:styleId="Nadpis1">
    <w:name w:val="heading 1"/>
    <w:basedOn w:val="Normln"/>
    <w:next w:val="Normln"/>
    <w:link w:val="Nadpis1Char"/>
    <w:uiPriority w:val="9"/>
    <w:qFormat/>
    <w:rsid w:val="00E60A4D"/>
    <w:pPr>
      <w:keepNext/>
      <w:keepLines/>
      <w:spacing w:before="480" w:after="240" w:line="240" w:lineRule="auto"/>
      <w:outlineLvl w:val="0"/>
    </w:pPr>
    <w:rPr>
      <w:rFonts w:ascii="Times New Roman" w:eastAsiaTheme="majorEastAsia" w:hAnsi="Times New Roman" w:cstheme="majorBidi"/>
      <w:b/>
      <w:bCs/>
      <w:color w:val="17365D" w:themeColor="text2" w:themeShade="BF"/>
      <w:sz w:val="32"/>
      <w:szCs w:val="28"/>
    </w:rPr>
  </w:style>
  <w:style w:type="paragraph" w:styleId="Nadpis2">
    <w:name w:val="heading 2"/>
    <w:basedOn w:val="Normln"/>
    <w:next w:val="Normln"/>
    <w:link w:val="Nadpis2Char"/>
    <w:uiPriority w:val="9"/>
    <w:unhideWhenUsed/>
    <w:qFormat/>
    <w:rsid w:val="00E60A4D"/>
    <w:pPr>
      <w:keepNext/>
      <w:keepLines/>
      <w:pageBreakBefore/>
      <w:spacing w:before="200"/>
      <w:outlineLvl w:val="1"/>
    </w:pPr>
    <w:rPr>
      <w:rFonts w:ascii="Times New Roman" w:eastAsiaTheme="majorEastAsia" w:hAnsi="Times New Roman" w:cstheme="majorBidi"/>
      <w:b/>
      <w:bCs/>
      <w:caps/>
      <w:color w:val="17365D" w:themeColor="text2" w:themeShade="BF"/>
      <w:sz w:val="24"/>
      <w:szCs w:val="26"/>
    </w:rPr>
  </w:style>
  <w:style w:type="paragraph" w:styleId="Nadpis3">
    <w:name w:val="heading 3"/>
    <w:basedOn w:val="Normln"/>
    <w:next w:val="Normln"/>
    <w:link w:val="Nadpis3Char"/>
    <w:uiPriority w:val="9"/>
    <w:unhideWhenUsed/>
    <w:qFormat/>
    <w:rsid w:val="00E60A4D"/>
    <w:pPr>
      <w:keepNext/>
      <w:keepLines/>
      <w:spacing w:before="200" w:after="240"/>
      <w:outlineLvl w:val="2"/>
    </w:pPr>
    <w:rPr>
      <w:rFonts w:ascii="Times New Roman" w:eastAsiaTheme="majorEastAsia" w:hAnsi="Times New Roman" w:cstheme="majorBidi"/>
      <w:b/>
      <w:bCs/>
      <w:caps/>
      <w:color w:val="17365D" w:themeColor="text2" w:themeShade="BF"/>
      <w:sz w:val="24"/>
    </w:rPr>
  </w:style>
  <w:style w:type="paragraph" w:styleId="Nadpis4">
    <w:name w:val="heading 4"/>
    <w:basedOn w:val="Normln"/>
    <w:next w:val="Normln"/>
    <w:link w:val="Nadpis4Char"/>
    <w:uiPriority w:val="9"/>
    <w:unhideWhenUsed/>
    <w:qFormat/>
    <w:rsid w:val="00E60A4D"/>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A4D"/>
    <w:rPr>
      <w:rFonts w:ascii="Times New Roman" w:eastAsiaTheme="majorEastAsia" w:hAnsi="Times New Roman" w:cstheme="majorBidi"/>
      <w:b/>
      <w:bCs/>
      <w:color w:val="17365D" w:themeColor="text2" w:themeShade="BF"/>
      <w:sz w:val="32"/>
      <w:szCs w:val="28"/>
    </w:rPr>
  </w:style>
  <w:style w:type="character" w:customStyle="1" w:styleId="Nadpis2Char">
    <w:name w:val="Nadpis 2 Char"/>
    <w:basedOn w:val="Standardnpsmoodstavce"/>
    <w:link w:val="Nadpis2"/>
    <w:uiPriority w:val="9"/>
    <w:rsid w:val="00E60A4D"/>
    <w:rPr>
      <w:rFonts w:ascii="Times New Roman" w:eastAsiaTheme="majorEastAsia" w:hAnsi="Times New Roman" w:cstheme="majorBidi"/>
      <w:b/>
      <w:bCs/>
      <w:caps/>
      <w:color w:val="17365D" w:themeColor="text2" w:themeShade="BF"/>
      <w:sz w:val="24"/>
      <w:szCs w:val="26"/>
    </w:rPr>
  </w:style>
  <w:style w:type="character" w:customStyle="1" w:styleId="Nadpis3Char">
    <w:name w:val="Nadpis 3 Char"/>
    <w:basedOn w:val="Standardnpsmoodstavce"/>
    <w:link w:val="Nadpis3"/>
    <w:uiPriority w:val="9"/>
    <w:rsid w:val="00E60A4D"/>
    <w:rPr>
      <w:rFonts w:ascii="Times New Roman" w:eastAsiaTheme="majorEastAsia" w:hAnsi="Times New Roman" w:cstheme="majorBidi"/>
      <w:b/>
      <w:bCs/>
      <w:caps/>
      <w:color w:val="17365D" w:themeColor="text2" w:themeShade="BF"/>
      <w:sz w:val="24"/>
    </w:rPr>
  </w:style>
  <w:style w:type="paragraph" w:styleId="Odstavecseseznamem">
    <w:name w:val="List Paragraph"/>
    <w:basedOn w:val="Normln"/>
    <w:uiPriority w:val="34"/>
    <w:qFormat/>
    <w:rsid w:val="009201EF"/>
    <w:pPr>
      <w:ind w:left="720"/>
      <w:contextualSpacing/>
    </w:pPr>
  </w:style>
  <w:style w:type="character" w:styleId="Hypertextovodkaz">
    <w:name w:val="Hyperlink"/>
    <w:basedOn w:val="Standardnpsmoodstavce"/>
    <w:uiPriority w:val="99"/>
    <w:unhideWhenUsed/>
    <w:rsid w:val="009201EF"/>
    <w:rPr>
      <w:color w:val="0000FF" w:themeColor="hyperlink"/>
      <w:u w:val="single"/>
    </w:rPr>
  </w:style>
  <w:style w:type="paragraph" w:styleId="Bezmezer">
    <w:name w:val="No Spacing"/>
    <w:qFormat/>
    <w:rsid w:val="009201E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20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01EF"/>
    <w:rPr>
      <w:rFonts w:ascii="Tahoma" w:hAnsi="Tahoma" w:cs="Tahoma"/>
      <w:sz w:val="16"/>
      <w:szCs w:val="16"/>
    </w:rPr>
  </w:style>
  <w:style w:type="character" w:customStyle="1" w:styleId="highlight">
    <w:name w:val="highlight"/>
    <w:basedOn w:val="Standardnpsmoodstavce"/>
    <w:rsid w:val="009201EF"/>
  </w:style>
  <w:style w:type="paragraph" w:styleId="Obsah1">
    <w:name w:val="toc 1"/>
    <w:basedOn w:val="Normln"/>
    <w:next w:val="Normln"/>
    <w:autoRedefine/>
    <w:uiPriority w:val="39"/>
    <w:unhideWhenUsed/>
    <w:rsid w:val="00873FF5"/>
    <w:pPr>
      <w:tabs>
        <w:tab w:val="right" w:leader="dot" w:pos="9174"/>
      </w:tabs>
      <w:spacing w:after="0" w:line="240" w:lineRule="auto"/>
      <w:jc w:val="both"/>
    </w:pPr>
    <w:rPr>
      <w:rFonts w:ascii="Times New Roman" w:hAnsi="Times New Roman"/>
      <w:noProof/>
      <w:color w:val="17365D" w:themeColor="text2" w:themeShade="BF"/>
    </w:rPr>
  </w:style>
  <w:style w:type="paragraph" w:styleId="Obsah2">
    <w:name w:val="toc 2"/>
    <w:basedOn w:val="Normln"/>
    <w:next w:val="Normln"/>
    <w:autoRedefine/>
    <w:uiPriority w:val="39"/>
    <w:unhideWhenUsed/>
    <w:rsid w:val="00473F0D"/>
    <w:pPr>
      <w:spacing w:after="100" w:line="240" w:lineRule="auto"/>
    </w:pPr>
    <w:rPr>
      <w:rFonts w:ascii="Times New Roman" w:hAnsi="Times New Roman"/>
    </w:rPr>
  </w:style>
  <w:style w:type="paragraph" w:styleId="Obsah3">
    <w:name w:val="toc 3"/>
    <w:basedOn w:val="Normln"/>
    <w:next w:val="Normln"/>
    <w:autoRedefine/>
    <w:uiPriority w:val="39"/>
    <w:unhideWhenUsed/>
    <w:rsid w:val="00473F0D"/>
    <w:pPr>
      <w:tabs>
        <w:tab w:val="right" w:leader="dot" w:pos="9062"/>
      </w:tabs>
      <w:spacing w:after="100" w:line="240" w:lineRule="auto"/>
    </w:pPr>
    <w:rPr>
      <w:rFonts w:ascii="Times New Roman" w:hAnsi="Times New Roman"/>
    </w:rPr>
  </w:style>
  <w:style w:type="table" w:styleId="Mkatabulky">
    <w:name w:val="Table Grid"/>
    <w:basedOn w:val="Normlntabulka"/>
    <w:uiPriority w:val="59"/>
    <w:rsid w:val="0092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201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01EF"/>
  </w:style>
  <w:style w:type="paragraph" w:styleId="Zpat">
    <w:name w:val="footer"/>
    <w:basedOn w:val="Normln"/>
    <w:link w:val="ZpatChar"/>
    <w:uiPriority w:val="99"/>
    <w:unhideWhenUsed/>
    <w:rsid w:val="009201EF"/>
    <w:pPr>
      <w:tabs>
        <w:tab w:val="center" w:pos="4536"/>
        <w:tab w:val="right" w:pos="9072"/>
      </w:tabs>
      <w:spacing w:after="0" w:line="240" w:lineRule="auto"/>
    </w:pPr>
  </w:style>
  <w:style w:type="character" w:customStyle="1" w:styleId="ZpatChar">
    <w:name w:val="Zápatí Char"/>
    <w:basedOn w:val="Standardnpsmoodstavce"/>
    <w:link w:val="Zpat"/>
    <w:uiPriority w:val="99"/>
    <w:rsid w:val="009201EF"/>
  </w:style>
  <w:style w:type="paragraph" w:styleId="Normlnweb">
    <w:name w:val="Normal (Web)"/>
    <w:basedOn w:val="Normln"/>
    <w:uiPriority w:val="99"/>
    <w:semiHidden/>
    <w:unhideWhenUsed/>
    <w:rsid w:val="003937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37AF"/>
    <w:rPr>
      <w:b/>
      <w:bCs/>
    </w:rPr>
  </w:style>
  <w:style w:type="character" w:customStyle="1" w:styleId="Nadpis4Char">
    <w:name w:val="Nadpis 4 Char"/>
    <w:basedOn w:val="Standardnpsmoodstavce"/>
    <w:link w:val="Nadpis4"/>
    <w:uiPriority w:val="9"/>
    <w:rsid w:val="00E60A4D"/>
    <w:rPr>
      <w:rFonts w:asciiTheme="majorHAnsi" w:eastAsiaTheme="majorEastAsia" w:hAnsiTheme="majorHAnsi" w:cstheme="majorBidi"/>
      <w:b/>
      <w:bCs/>
      <w:i/>
      <w:iCs/>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780">
      <w:bodyDiv w:val="1"/>
      <w:marLeft w:val="0"/>
      <w:marRight w:val="0"/>
      <w:marTop w:val="0"/>
      <w:marBottom w:val="0"/>
      <w:divBdr>
        <w:top w:val="none" w:sz="0" w:space="0" w:color="auto"/>
        <w:left w:val="none" w:sz="0" w:space="0" w:color="auto"/>
        <w:bottom w:val="none" w:sz="0" w:space="0" w:color="auto"/>
        <w:right w:val="none" w:sz="0" w:space="0" w:color="auto"/>
      </w:divBdr>
    </w:div>
    <w:div w:id="84039192">
      <w:bodyDiv w:val="1"/>
      <w:marLeft w:val="0"/>
      <w:marRight w:val="0"/>
      <w:marTop w:val="0"/>
      <w:marBottom w:val="0"/>
      <w:divBdr>
        <w:top w:val="none" w:sz="0" w:space="0" w:color="auto"/>
        <w:left w:val="none" w:sz="0" w:space="0" w:color="auto"/>
        <w:bottom w:val="none" w:sz="0" w:space="0" w:color="auto"/>
        <w:right w:val="none" w:sz="0" w:space="0" w:color="auto"/>
      </w:divBdr>
    </w:div>
    <w:div w:id="93982044">
      <w:bodyDiv w:val="1"/>
      <w:marLeft w:val="0"/>
      <w:marRight w:val="0"/>
      <w:marTop w:val="0"/>
      <w:marBottom w:val="0"/>
      <w:divBdr>
        <w:top w:val="none" w:sz="0" w:space="0" w:color="auto"/>
        <w:left w:val="none" w:sz="0" w:space="0" w:color="auto"/>
        <w:bottom w:val="none" w:sz="0" w:space="0" w:color="auto"/>
        <w:right w:val="none" w:sz="0" w:space="0" w:color="auto"/>
      </w:divBdr>
    </w:div>
    <w:div w:id="238946384">
      <w:bodyDiv w:val="1"/>
      <w:marLeft w:val="0"/>
      <w:marRight w:val="0"/>
      <w:marTop w:val="0"/>
      <w:marBottom w:val="0"/>
      <w:divBdr>
        <w:top w:val="none" w:sz="0" w:space="0" w:color="auto"/>
        <w:left w:val="none" w:sz="0" w:space="0" w:color="auto"/>
        <w:bottom w:val="none" w:sz="0" w:space="0" w:color="auto"/>
        <w:right w:val="none" w:sz="0" w:space="0" w:color="auto"/>
      </w:divBdr>
    </w:div>
    <w:div w:id="294069958">
      <w:bodyDiv w:val="1"/>
      <w:marLeft w:val="0"/>
      <w:marRight w:val="0"/>
      <w:marTop w:val="0"/>
      <w:marBottom w:val="0"/>
      <w:divBdr>
        <w:top w:val="none" w:sz="0" w:space="0" w:color="auto"/>
        <w:left w:val="none" w:sz="0" w:space="0" w:color="auto"/>
        <w:bottom w:val="none" w:sz="0" w:space="0" w:color="auto"/>
        <w:right w:val="none" w:sz="0" w:space="0" w:color="auto"/>
      </w:divBdr>
    </w:div>
    <w:div w:id="325518261">
      <w:bodyDiv w:val="1"/>
      <w:marLeft w:val="0"/>
      <w:marRight w:val="0"/>
      <w:marTop w:val="0"/>
      <w:marBottom w:val="0"/>
      <w:divBdr>
        <w:top w:val="none" w:sz="0" w:space="0" w:color="auto"/>
        <w:left w:val="none" w:sz="0" w:space="0" w:color="auto"/>
        <w:bottom w:val="none" w:sz="0" w:space="0" w:color="auto"/>
        <w:right w:val="none" w:sz="0" w:space="0" w:color="auto"/>
      </w:divBdr>
    </w:div>
    <w:div w:id="400060582">
      <w:bodyDiv w:val="1"/>
      <w:marLeft w:val="0"/>
      <w:marRight w:val="0"/>
      <w:marTop w:val="0"/>
      <w:marBottom w:val="0"/>
      <w:divBdr>
        <w:top w:val="none" w:sz="0" w:space="0" w:color="auto"/>
        <w:left w:val="none" w:sz="0" w:space="0" w:color="auto"/>
        <w:bottom w:val="none" w:sz="0" w:space="0" w:color="auto"/>
        <w:right w:val="none" w:sz="0" w:space="0" w:color="auto"/>
      </w:divBdr>
    </w:div>
    <w:div w:id="528836733">
      <w:bodyDiv w:val="1"/>
      <w:marLeft w:val="0"/>
      <w:marRight w:val="0"/>
      <w:marTop w:val="0"/>
      <w:marBottom w:val="0"/>
      <w:divBdr>
        <w:top w:val="none" w:sz="0" w:space="0" w:color="auto"/>
        <w:left w:val="none" w:sz="0" w:space="0" w:color="auto"/>
        <w:bottom w:val="none" w:sz="0" w:space="0" w:color="auto"/>
        <w:right w:val="none" w:sz="0" w:space="0" w:color="auto"/>
      </w:divBdr>
    </w:div>
    <w:div w:id="538275782">
      <w:bodyDiv w:val="1"/>
      <w:marLeft w:val="0"/>
      <w:marRight w:val="0"/>
      <w:marTop w:val="0"/>
      <w:marBottom w:val="0"/>
      <w:divBdr>
        <w:top w:val="none" w:sz="0" w:space="0" w:color="auto"/>
        <w:left w:val="none" w:sz="0" w:space="0" w:color="auto"/>
        <w:bottom w:val="none" w:sz="0" w:space="0" w:color="auto"/>
        <w:right w:val="none" w:sz="0" w:space="0" w:color="auto"/>
      </w:divBdr>
    </w:div>
    <w:div w:id="579559351">
      <w:bodyDiv w:val="1"/>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83060909">
              <w:marLeft w:val="0"/>
              <w:marRight w:val="0"/>
              <w:marTop w:val="0"/>
              <w:marBottom w:val="0"/>
              <w:divBdr>
                <w:top w:val="none" w:sz="0" w:space="0" w:color="auto"/>
                <w:left w:val="none" w:sz="0" w:space="0" w:color="auto"/>
                <w:bottom w:val="none" w:sz="0" w:space="0" w:color="auto"/>
                <w:right w:val="none" w:sz="0" w:space="0" w:color="auto"/>
              </w:divBdr>
              <w:divsChild>
                <w:div w:id="1818957996">
                  <w:marLeft w:val="0"/>
                  <w:marRight w:val="0"/>
                  <w:marTop w:val="0"/>
                  <w:marBottom w:val="0"/>
                  <w:divBdr>
                    <w:top w:val="none" w:sz="0" w:space="0" w:color="auto"/>
                    <w:left w:val="none" w:sz="0" w:space="0" w:color="auto"/>
                    <w:bottom w:val="none" w:sz="0" w:space="0" w:color="auto"/>
                    <w:right w:val="none" w:sz="0" w:space="0" w:color="auto"/>
                  </w:divBdr>
                  <w:divsChild>
                    <w:div w:id="1847284928">
                      <w:marLeft w:val="0"/>
                      <w:marRight w:val="0"/>
                      <w:marTop w:val="0"/>
                      <w:marBottom w:val="0"/>
                      <w:divBdr>
                        <w:top w:val="none" w:sz="0" w:space="0" w:color="auto"/>
                        <w:left w:val="none" w:sz="0" w:space="0" w:color="auto"/>
                        <w:bottom w:val="none" w:sz="0" w:space="0" w:color="auto"/>
                        <w:right w:val="none" w:sz="0" w:space="0" w:color="auto"/>
                      </w:divBdr>
                      <w:divsChild>
                        <w:div w:id="1006711244">
                          <w:marLeft w:val="0"/>
                          <w:marRight w:val="0"/>
                          <w:marTop w:val="0"/>
                          <w:marBottom w:val="0"/>
                          <w:divBdr>
                            <w:top w:val="none" w:sz="0" w:space="0" w:color="auto"/>
                            <w:left w:val="none" w:sz="0" w:space="0" w:color="auto"/>
                            <w:bottom w:val="none" w:sz="0" w:space="0" w:color="auto"/>
                            <w:right w:val="none" w:sz="0" w:space="0" w:color="auto"/>
                          </w:divBdr>
                          <w:divsChild>
                            <w:div w:id="1423646628">
                              <w:marLeft w:val="0"/>
                              <w:marRight w:val="0"/>
                              <w:marTop w:val="0"/>
                              <w:marBottom w:val="0"/>
                              <w:divBdr>
                                <w:top w:val="none" w:sz="0" w:space="0" w:color="auto"/>
                                <w:left w:val="none" w:sz="0" w:space="0" w:color="auto"/>
                                <w:bottom w:val="none" w:sz="0" w:space="0" w:color="auto"/>
                                <w:right w:val="none" w:sz="0" w:space="0" w:color="auto"/>
                              </w:divBdr>
                            </w:div>
                            <w:div w:id="1885866359">
                              <w:marLeft w:val="0"/>
                              <w:marRight w:val="0"/>
                              <w:marTop w:val="0"/>
                              <w:marBottom w:val="0"/>
                              <w:divBdr>
                                <w:top w:val="none" w:sz="0" w:space="0" w:color="auto"/>
                                <w:left w:val="none" w:sz="0" w:space="0" w:color="auto"/>
                                <w:bottom w:val="none" w:sz="0" w:space="0" w:color="auto"/>
                                <w:right w:val="none" w:sz="0" w:space="0" w:color="auto"/>
                              </w:divBdr>
                            </w:div>
                            <w:div w:id="585845152">
                              <w:marLeft w:val="0"/>
                              <w:marRight w:val="0"/>
                              <w:marTop w:val="0"/>
                              <w:marBottom w:val="0"/>
                              <w:divBdr>
                                <w:top w:val="none" w:sz="0" w:space="0" w:color="auto"/>
                                <w:left w:val="none" w:sz="0" w:space="0" w:color="auto"/>
                                <w:bottom w:val="none" w:sz="0" w:space="0" w:color="auto"/>
                                <w:right w:val="none" w:sz="0" w:space="0" w:color="auto"/>
                              </w:divBdr>
                            </w:div>
                            <w:div w:id="569770679">
                              <w:marLeft w:val="0"/>
                              <w:marRight w:val="0"/>
                              <w:marTop w:val="0"/>
                              <w:marBottom w:val="0"/>
                              <w:divBdr>
                                <w:top w:val="none" w:sz="0" w:space="0" w:color="auto"/>
                                <w:left w:val="none" w:sz="0" w:space="0" w:color="auto"/>
                                <w:bottom w:val="none" w:sz="0" w:space="0" w:color="auto"/>
                                <w:right w:val="none" w:sz="0" w:space="0" w:color="auto"/>
                              </w:divBdr>
                            </w:div>
                          </w:divsChild>
                        </w:div>
                        <w:div w:id="728696995">
                          <w:marLeft w:val="0"/>
                          <w:marRight w:val="0"/>
                          <w:marTop w:val="0"/>
                          <w:marBottom w:val="0"/>
                          <w:divBdr>
                            <w:top w:val="none" w:sz="0" w:space="0" w:color="auto"/>
                            <w:left w:val="none" w:sz="0" w:space="0" w:color="auto"/>
                            <w:bottom w:val="none" w:sz="0" w:space="0" w:color="auto"/>
                            <w:right w:val="none" w:sz="0" w:space="0" w:color="auto"/>
                          </w:divBdr>
                          <w:divsChild>
                            <w:div w:id="1894580708">
                              <w:marLeft w:val="0"/>
                              <w:marRight w:val="0"/>
                              <w:marTop w:val="0"/>
                              <w:marBottom w:val="0"/>
                              <w:divBdr>
                                <w:top w:val="none" w:sz="0" w:space="0" w:color="auto"/>
                                <w:left w:val="none" w:sz="0" w:space="0" w:color="auto"/>
                                <w:bottom w:val="none" w:sz="0" w:space="0" w:color="auto"/>
                                <w:right w:val="none" w:sz="0" w:space="0" w:color="auto"/>
                              </w:divBdr>
                            </w:div>
                            <w:div w:id="2362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35035">
      <w:bodyDiv w:val="1"/>
      <w:marLeft w:val="0"/>
      <w:marRight w:val="0"/>
      <w:marTop w:val="0"/>
      <w:marBottom w:val="0"/>
      <w:divBdr>
        <w:top w:val="none" w:sz="0" w:space="0" w:color="auto"/>
        <w:left w:val="none" w:sz="0" w:space="0" w:color="auto"/>
        <w:bottom w:val="none" w:sz="0" w:space="0" w:color="auto"/>
        <w:right w:val="none" w:sz="0" w:space="0" w:color="auto"/>
      </w:divBdr>
    </w:div>
    <w:div w:id="649483245">
      <w:bodyDiv w:val="1"/>
      <w:marLeft w:val="0"/>
      <w:marRight w:val="0"/>
      <w:marTop w:val="0"/>
      <w:marBottom w:val="0"/>
      <w:divBdr>
        <w:top w:val="none" w:sz="0" w:space="0" w:color="auto"/>
        <w:left w:val="none" w:sz="0" w:space="0" w:color="auto"/>
        <w:bottom w:val="none" w:sz="0" w:space="0" w:color="auto"/>
        <w:right w:val="none" w:sz="0" w:space="0" w:color="auto"/>
      </w:divBdr>
    </w:div>
    <w:div w:id="683482008">
      <w:bodyDiv w:val="1"/>
      <w:marLeft w:val="0"/>
      <w:marRight w:val="0"/>
      <w:marTop w:val="0"/>
      <w:marBottom w:val="0"/>
      <w:divBdr>
        <w:top w:val="none" w:sz="0" w:space="0" w:color="auto"/>
        <w:left w:val="none" w:sz="0" w:space="0" w:color="auto"/>
        <w:bottom w:val="none" w:sz="0" w:space="0" w:color="auto"/>
        <w:right w:val="none" w:sz="0" w:space="0" w:color="auto"/>
      </w:divBdr>
    </w:div>
    <w:div w:id="710345085">
      <w:bodyDiv w:val="1"/>
      <w:marLeft w:val="0"/>
      <w:marRight w:val="0"/>
      <w:marTop w:val="0"/>
      <w:marBottom w:val="0"/>
      <w:divBdr>
        <w:top w:val="none" w:sz="0" w:space="0" w:color="auto"/>
        <w:left w:val="none" w:sz="0" w:space="0" w:color="auto"/>
        <w:bottom w:val="none" w:sz="0" w:space="0" w:color="auto"/>
        <w:right w:val="none" w:sz="0" w:space="0" w:color="auto"/>
      </w:divBdr>
    </w:div>
    <w:div w:id="711000736">
      <w:bodyDiv w:val="1"/>
      <w:marLeft w:val="0"/>
      <w:marRight w:val="0"/>
      <w:marTop w:val="0"/>
      <w:marBottom w:val="0"/>
      <w:divBdr>
        <w:top w:val="none" w:sz="0" w:space="0" w:color="auto"/>
        <w:left w:val="none" w:sz="0" w:space="0" w:color="auto"/>
        <w:bottom w:val="none" w:sz="0" w:space="0" w:color="auto"/>
        <w:right w:val="none" w:sz="0" w:space="0" w:color="auto"/>
      </w:divBdr>
    </w:div>
    <w:div w:id="743383100">
      <w:bodyDiv w:val="1"/>
      <w:marLeft w:val="0"/>
      <w:marRight w:val="0"/>
      <w:marTop w:val="0"/>
      <w:marBottom w:val="0"/>
      <w:divBdr>
        <w:top w:val="none" w:sz="0" w:space="0" w:color="auto"/>
        <w:left w:val="none" w:sz="0" w:space="0" w:color="auto"/>
        <w:bottom w:val="none" w:sz="0" w:space="0" w:color="auto"/>
        <w:right w:val="none" w:sz="0" w:space="0" w:color="auto"/>
      </w:divBdr>
    </w:div>
    <w:div w:id="776830219">
      <w:bodyDiv w:val="1"/>
      <w:marLeft w:val="0"/>
      <w:marRight w:val="0"/>
      <w:marTop w:val="0"/>
      <w:marBottom w:val="0"/>
      <w:divBdr>
        <w:top w:val="none" w:sz="0" w:space="0" w:color="auto"/>
        <w:left w:val="none" w:sz="0" w:space="0" w:color="auto"/>
        <w:bottom w:val="none" w:sz="0" w:space="0" w:color="auto"/>
        <w:right w:val="none" w:sz="0" w:space="0" w:color="auto"/>
      </w:divBdr>
    </w:div>
    <w:div w:id="781001764">
      <w:bodyDiv w:val="1"/>
      <w:marLeft w:val="0"/>
      <w:marRight w:val="0"/>
      <w:marTop w:val="0"/>
      <w:marBottom w:val="0"/>
      <w:divBdr>
        <w:top w:val="none" w:sz="0" w:space="0" w:color="auto"/>
        <w:left w:val="none" w:sz="0" w:space="0" w:color="auto"/>
        <w:bottom w:val="none" w:sz="0" w:space="0" w:color="auto"/>
        <w:right w:val="none" w:sz="0" w:space="0" w:color="auto"/>
      </w:divBdr>
    </w:div>
    <w:div w:id="831141093">
      <w:bodyDiv w:val="1"/>
      <w:marLeft w:val="0"/>
      <w:marRight w:val="0"/>
      <w:marTop w:val="0"/>
      <w:marBottom w:val="0"/>
      <w:divBdr>
        <w:top w:val="none" w:sz="0" w:space="0" w:color="auto"/>
        <w:left w:val="none" w:sz="0" w:space="0" w:color="auto"/>
        <w:bottom w:val="none" w:sz="0" w:space="0" w:color="auto"/>
        <w:right w:val="none" w:sz="0" w:space="0" w:color="auto"/>
      </w:divBdr>
    </w:div>
    <w:div w:id="839855138">
      <w:bodyDiv w:val="1"/>
      <w:marLeft w:val="0"/>
      <w:marRight w:val="0"/>
      <w:marTop w:val="0"/>
      <w:marBottom w:val="0"/>
      <w:divBdr>
        <w:top w:val="none" w:sz="0" w:space="0" w:color="auto"/>
        <w:left w:val="none" w:sz="0" w:space="0" w:color="auto"/>
        <w:bottom w:val="none" w:sz="0" w:space="0" w:color="auto"/>
        <w:right w:val="none" w:sz="0" w:space="0" w:color="auto"/>
      </w:divBdr>
    </w:div>
    <w:div w:id="867644255">
      <w:bodyDiv w:val="1"/>
      <w:marLeft w:val="0"/>
      <w:marRight w:val="0"/>
      <w:marTop w:val="0"/>
      <w:marBottom w:val="0"/>
      <w:divBdr>
        <w:top w:val="none" w:sz="0" w:space="0" w:color="auto"/>
        <w:left w:val="none" w:sz="0" w:space="0" w:color="auto"/>
        <w:bottom w:val="none" w:sz="0" w:space="0" w:color="auto"/>
        <w:right w:val="none" w:sz="0" w:space="0" w:color="auto"/>
      </w:divBdr>
    </w:div>
    <w:div w:id="914896734">
      <w:bodyDiv w:val="1"/>
      <w:marLeft w:val="0"/>
      <w:marRight w:val="0"/>
      <w:marTop w:val="0"/>
      <w:marBottom w:val="0"/>
      <w:divBdr>
        <w:top w:val="none" w:sz="0" w:space="0" w:color="auto"/>
        <w:left w:val="none" w:sz="0" w:space="0" w:color="auto"/>
        <w:bottom w:val="none" w:sz="0" w:space="0" w:color="auto"/>
        <w:right w:val="none" w:sz="0" w:space="0" w:color="auto"/>
      </w:divBdr>
    </w:div>
    <w:div w:id="966204164">
      <w:bodyDiv w:val="1"/>
      <w:marLeft w:val="0"/>
      <w:marRight w:val="0"/>
      <w:marTop w:val="0"/>
      <w:marBottom w:val="0"/>
      <w:divBdr>
        <w:top w:val="none" w:sz="0" w:space="0" w:color="auto"/>
        <w:left w:val="none" w:sz="0" w:space="0" w:color="auto"/>
        <w:bottom w:val="none" w:sz="0" w:space="0" w:color="auto"/>
        <w:right w:val="none" w:sz="0" w:space="0" w:color="auto"/>
      </w:divBdr>
    </w:div>
    <w:div w:id="966667107">
      <w:bodyDiv w:val="1"/>
      <w:marLeft w:val="0"/>
      <w:marRight w:val="0"/>
      <w:marTop w:val="0"/>
      <w:marBottom w:val="0"/>
      <w:divBdr>
        <w:top w:val="none" w:sz="0" w:space="0" w:color="auto"/>
        <w:left w:val="none" w:sz="0" w:space="0" w:color="auto"/>
        <w:bottom w:val="none" w:sz="0" w:space="0" w:color="auto"/>
        <w:right w:val="none" w:sz="0" w:space="0" w:color="auto"/>
      </w:divBdr>
    </w:div>
    <w:div w:id="1008171257">
      <w:bodyDiv w:val="1"/>
      <w:marLeft w:val="0"/>
      <w:marRight w:val="0"/>
      <w:marTop w:val="0"/>
      <w:marBottom w:val="0"/>
      <w:divBdr>
        <w:top w:val="none" w:sz="0" w:space="0" w:color="auto"/>
        <w:left w:val="none" w:sz="0" w:space="0" w:color="auto"/>
        <w:bottom w:val="none" w:sz="0" w:space="0" w:color="auto"/>
        <w:right w:val="none" w:sz="0" w:space="0" w:color="auto"/>
      </w:divBdr>
    </w:div>
    <w:div w:id="1106803360">
      <w:bodyDiv w:val="1"/>
      <w:marLeft w:val="0"/>
      <w:marRight w:val="0"/>
      <w:marTop w:val="0"/>
      <w:marBottom w:val="0"/>
      <w:divBdr>
        <w:top w:val="none" w:sz="0" w:space="0" w:color="auto"/>
        <w:left w:val="none" w:sz="0" w:space="0" w:color="auto"/>
        <w:bottom w:val="none" w:sz="0" w:space="0" w:color="auto"/>
        <w:right w:val="none" w:sz="0" w:space="0" w:color="auto"/>
      </w:divBdr>
    </w:div>
    <w:div w:id="1150904722">
      <w:bodyDiv w:val="1"/>
      <w:marLeft w:val="0"/>
      <w:marRight w:val="0"/>
      <w:marTop w:val="0"/>
      <w:marBottom w:val="0"/>
      <w:divBdr>
        <w:top w:val="none" w:sz="0" w:space="0" w:color="auto"/>
        <w:left w:val="none" w:sz="0" w:space="0" w:color="auto"/>
        <w:bottom w:val="none" w:sz="0" w:space="0" w:color="auto"/>
        <w:right w:val="none" w:sz="0" w:space="0" w:color="auto"/>
      </w:divBdr>
    </w:div>
    <w:div w:id="1197042454">
      <w:bodyDiv w:val="1"/>
      <w:marLeft w:val="0"/>
      <w:marRight w:val="0"/>
      <w:marTop w:val="0"/>
      <w:marBottom w:val="0"/>
      <w:divBdr>
        <w:top w:val="none" w:sz="0" w:space="0" w:color="auto"/>
        <w:left w:val="none" w:sz="0" w:space="0" w:color="auto"/>
        <w:bottom w:val="none" w:sz="0" w:space="0" w:color="auto"/>
        <w:right w:val="none" w:sz="0" w:space="0" w:color="auto"/>
      </w:divBdr>
    </w:div>
    <w:div w:id="1197698913">
      <w:bodyDiv w:val="1"/>
      <w:marLeft w:val="0"/>
      <w:marRight w:val="0"/>
      <w:marTop w:val="0"/>
      <w:marBottom w:val="0"/>
      <w:divBdr>
        <w:top w:val="none" w:sz="0" w:space="0" w:color="auto"/>
        <w:left w:val="none" w:sz="0" w:space="0" w:color="auto"/>
        <w:bottom w:val="none" w:sz="0" w:space="0" w:color="auto"/>
        <w:right w:val="none" w:sz="0" w:space="0" w:color="auto"/>
      </w:divBdr>
    </w:div>
    <w:div w:id="1379554290">
      <w:bodyDiv w:val="1"/>
      <w:marLeft w:val="0"/>
      <w:marRight w:val="0"/>
      <w:marTop w:val="0"/>
      <w:marBottom w:val="0"/>
      <w:divBdr>
        <w:top w:val="none" w:sz="0" w:space="0" w:color="auto"/>
        <w:left w:val="none" w:sz="0" w:space="0" w:color="auto"/>
        <w:bottom w:val="none" w:sz="0" w:space="0" w:color="auto"/>
        <w:right w:val="none" w:sz="0" w:space="0" w:color="auto"/>
      </w:divBdr>
    </w:div>
    <w:div w:id="1439256609">
      <w:bodyDiv w:val="1"/>
      <w:marLeft w:val="0"/>
      <w:marRight w:val="0"/>
      <w:marTop w:val="0"/>
      <w:marBottom w:val="0"/>
      <w:divBdr>
        <w:top w:val="none" w:sz="0" w:space="0" w:color="auto"/>
        <w:left w:val="none" w:sz="0" w:space="0" w:color="auto"/>
        <w:bottom w:val="none" w:sz="0" w:space="0" w:color="auto"/>
        <w:right w:val="none" w:sz="0" w:space="0" w:color="auto"/>
      </w:divBdr>
    </w:div>
    <w:div w:id="1752509530">
      <w:bodyDiv w:val="1"/>
      <w:marLeft w:val="0"/>
      <w:marRight w:val="0"/>
      <w:marTop w:val="0"/>
      <w:marBottom w:val="0"/>
      <w:divBdr>
        <w:top w:val="none" w:sz="0" w:space="0" w:color="auto"/>
        <w:left w:val="none" w:sz="0" w:space="0" w:color="auto"/>
        <w:bottom w:val="none" w:sz="0" w:space="0" w:color="auto"/>
        <w:right w:val="none" w:sz="0" w:space="0" w:color="auto"/>
      </w:divBdr>
    </w:div>
    <w:div w:id="1760710543">
      <w:bodyDiv w:val="1"/>
      <w:marLeft w:val="0"/>
      <w:marRight w:val="0"/>
      <w:marTop w:val="0"/>
      <w:marBottom w:val="0"/>
      <w:divBdr>
        <w:top w:val="none" w:sz="0" w:space="0" w:color="auto"/>
        <w:left w:val="none" w:sz="0" w:space="0" w:color="auto"/>
        <w:bottom w:val="none" w:sz="0" w:space="0" w:color="auto"/>
        <w:right w:val="none" w:sz="0" w:space="0" w:color="auto"/>
      </w:divBdr>
    </w:div>
    <w:div w:id="1838692184">
      <w:bodyDiv w:val="1"/>
      <w:marLeft w:val="0"/>
      <w:marRight w:val="0"/>
      <w:marTop w:val="0"/>
      <w:marBottom w:val="0"/>
      <w:divBdr>
        <w:top w:val="none" w:sz="0" w:space="0" w:color="auto"/>
        <w:left w:val="none" w:sz="0" w:space="0" w:color="auto"/>
        <w:bottom w:val="none" w:sz="0" w:space="0" w:color="auto"/>
        <w:right w:val="none" w:sz="0" w:space="0" w:color="auto"/>
      </w:divBdr>
    </w:div>
    <w:div w:id="1846090677">
      <w:bodyDiv w:val="1"/>
      <w:marLeft w:val="0"/>
      <w:marRight w:val="0"/>
      <w:marTop w:val="0"/>
      <w:marBottom w:val="0"/>
      <w:divBdr>
        <w:top w:val="none" w:sz="0" w:space="0" w:color="auto"/>
        <w:left w:val="none" w:sz="0" w:space="0" w:color="auto"/>
        <w:bottom w:val="none" w:sz="0" w:space="0" w:color="auto"/>
        <w:right w:val="none" w:sz="0" w:space="0" w:color="auto"/>
      </w:divBdr>
    </w:div>
    <w:div w:id="1886600772">
      <w:bodyDiv w:val="1"/>
      <w:marLeft w:val="0"/>
      <w:marRight w:val="0"/>
      <w:marTop w:val="0"/>
      <w:marBottom w:val="0"/>
      <w:divBdr>
        <w:top w:val="none" w:sz="0" w:space="0" w:color="auto"/>
        <w:left w:val="none" w:sz="0" w:space="0" w:color="auto"/>
        <w:bottom w:val="none" w:sz="0" w:space="0" w:color="auto"/>
        <w:right w:val="none" w:sz="0" w:space="0" w:color="auto"/>
      </w:divBdr>
    </w:div>
    <w:div w:id="1944075127">
      <w:bodyDiv w:val="1"/>
      <w:marLeft w:val="0"/>
      <w:marRight w:val="0"/>
      <w:marTop w:val="0"/>
      <w:marBottom w:val="0"/>
      <w:divBdr>
        <w:top w:val="none" w:sz="0" w:space="0" w:color="auto"/>
        <w:left w:val="none" w:sz="0" w:space="0" w:color="auto"/>
        <w:bottom w:val="none" w:sz="0" w:space="0" w:color="auto"/>
        <w:right w:val="none" w:sz="0" w:space="0" w:color="auto"/>
      </w:divBdr>
    </w:div>
    <w:div w:id="1974016169">
      <w:bodyDiv w:val="1"/>
      <w:marLeft w:val="0"/>
      <w:marRight w:val="0"/>
      <w:marTop w:val="0"/>
      <w:marBottom w:val="0"/>
      <w:divBdr>
        <w:top w:val="none" w:sz="0" w:space="0" w:color="auto"/>
        <w:left w:val="none" w:sz="0" w:space="0" w:color="auto"/>
        <w:bottom w:val="none" w:sz="0" w:space="0" w:color="auto"/>
        <w:right w:val="none" w:sz="0" w:space="0" w:color="auto"/>
      </w:divBdr>
    </w:div>
    <w:div w:id="1990013084">
      <w:bodyDiv w:val="1"/>
      <w:marLeft w:val="0"/>
      <w:marRight w:val="0"/>
      <w:marTop w:val="0"/>
      <w:marBottom w:val="0"/>
      <w:divBdr>
        <w:top w:val="none" w:sz="0" w:space="0" w:color="auto"/>
        <w:left w:val="none" w:sz="0" w:space="0" w:color="auto"/>
        <w:bottom w:val="none" w:sz="0" w:space="0" w:color="auto"/>
        <w:right w:val="none" w:sz="0" w:space="0" w:color="auto"/>
      </w:divBdr>
    </w:div>
    <w:div w:id="2004238089">
      <w:bodyDiv w:val="1"/>
      <w:marLeft w:val="0"/>
      <w:marRight w:val="0"/>
      <w:marTop w:val="0"/>
      <w:marBottom w:val="0"/>
      <w:divBdr>
        <w:top w:val="none" w:sz="0" w:space="0" w:color="auto"/>
        <w:left w:val="none" w:sz="0" w:space="0" w:color="auto"/>
        <w:bottom w:val="none" w:sz="0" w:space="0" w:color="auto"/>
        <w:right w:val="none" w:sz="0" w:space="0" w:color="auto"/>
      </w:divBdr>
    </w:div>
    <w:div w:id="20553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obyvatelstvo!$P$2</c:f>
              <c:strCache>
                <c:ptCount val="1"/>
                <c:pt idx="0">
                  <c:v>Plavy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obyvatelstvo!$P$3:$P$12</c:f>
              <c:numCache>
                <c:formatCode>General</c:formatCode>
                <c:ptCount val="10"/>
                <c:pt idx="0">
                  <c:v>100</c:v>
                </c:pt>
                <c:pt idx="1">
                  <c:v>98.134328358208961</c:v>
                </c:pt>
                <c:pt idx="2">
                  <c:v>99.714828897338407</c:v>
                </c:pt>
                <c:pt idx="3">
                  <c:v>99.523355576739746</c:v>
                </c:pt>
                <c:pt idx="4">
                  <c:v>101.05363984674329</c:v>
                </c:pt>
                <c:pt idx="5">
                  <c:v>98.957345971563981</c:v>
                </c:pt>
                <c:pt idx="6">
                  <c:v>99.808429118773944</c:v>
                </c:pt>
                <c:pt idx="7">
                  <c:v>100.28790786948176</c:v>
                </c:pt>
                <c:pt idx="8">
                  <c:v>99.808612440191396</c:v>
                </c:pt>
                <c:pt idx="9">
                  <c:v>99.328859060402692</c:v>
                </c:pt>
              </c:numCache>
            </c:numRef>
          </c:val>
          <c:smooth val="0"/>
        </c:ser>
        <c:ser>
          <c:idx val="1"/>
          <c:order val="1"/>
          <c:tx>
            <c:strRef>
              <c:f>obyvatelstvo!$R$2</c:f>
              <c:strCache>
                <c:ptCount val="1"/>
                <c:pt idx="0">
                  <c:v>SO ORP Tanvald (meziroční vývoj)</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obyvatelstvo!$R$3:$R$12</c:f>
              <c:numCache>
                <c:formatCode>General</c:formatCode>
                <c:ptCount val="10"/>
                <c:pt idx="0">
                  <c:v>100</c:v>
                </c:pt>
                <c:pt idx="1">
                  <c:v>99.940852632057869</c:v>
                </c:pt>
                <c:pt idx="2">
                  <c:v>99.722298097059095</c:v>
                </c:pt>
                <c:pt idx="3">
                  <c:v>97.945674503538001</c:v>
                </c:pt>
                <c:pt idx="4">
                  <c:v>99.235609415054768</c:v>
                </c:pt>
                <c:pt idx="5">
                  <c:v>99.008970926682636</c:v>
                </c:pt>
                <c:pt idx="6">
                  <c:v>99.160341555977226</c:v>
                </c:pt>
                <c:pt idx="7">
                  <c:v>99.535951777256855</c:v>
                </c:pt>
                <c:pt idx="8">
                  <c:v>99.091608189945219</c:v>
                </c:pt>
                <c:pt idx="9">
                  <c:v>99.471310083911334</c:v>
                </c:pt>
              </c:numCache>
            </c:numRef>
          </c:val>
          <c:smooth val="0"/>
        </c:ser>
        <c:ser>
          <c:idx val="2"/>
          <c:order val="2"/>
          <c:tx>
            <c:strRef>
              <c:f>obyvatelstvo!$S$2</c:f>
              <c:strCache>
                <c:ptCount val="1"/>
                <c:pt idx="0">
                  <c:v>Plavy (srovnání k roku 2008)</c:v>
                </c:pt>
              </c:strCache>
            </c:strRef>
          </c:tx>
          <c:spPr>
            <a:effectLst>
              <a:outerShdw blurRad="50800" dist="38100" dir="2700000" algn="tl" rotWithShape="0">
                <a:prstClr val="black">
                  <a:alpha val="40000"/>
                </a:prstClr>
              </a:outerShdw>
            </a:effectLst>
          </c:spPr>
          <c:marker>
            <c:symbol val="none"/>
          </c:marker>
          <c:cat>
            <c:numRef>
              <c:f>obyvatelstvo!$N$3:$N$12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obyvatelstvo!$S$3:$S$12</c:f>
              <c:numCache>
                <c:formatCode>General</c:formatCode>
                <c:ptCount val="10"/>
                <c:pt idx="0">
                  <c:v>100</c:v>
                </c:pt>
                <c:pt idx="1">
                  <c:v>98.134328358208961</c:v>
                </c:pt>
                <c:pt idx="2">
                  <c:v>97.854477611940297</c:v>
                </c:pt>
                <c:pt idx="3">
                  <c:v>97.388059701492537</c:v>
                </c:pt>
                <c:pt idx="4">
                  <c:v>98.414179104477611</c:v>
                </c:pt>
                <c:pt idx="5">
                  <c:v>97.388059701492537</c:v>
                </c:pt>
                <c:pt idx="6">
                  <c:v>97.201492537313428</c:v>
                </c:pt>
                <c:pt idx="7">
                  <c:v>97.481343283582092</c:v>
                </c:pt>
                <c:pt idx="8">
                  <c:v>97.294776119402982</c:v>
                </c:pt>
                <c:pt idx="9">
                  <c:v>96.641791044776113</c:v>
                </c:pt>
              </c:numCache>
            </c:numRef>
          </c:val>
          <c:smooth val="0"/>
        </c:ser>
        <c:dLbls>
          <c:showLegendKey val="0"/>
          <c:showVal val="0"/>
          <c:showCatName val="0"/>
          <c:showSerName val="0"/>
          <c:showPercent val="0"/>
          <c:showBubbleSize val="0"/>
        </c:dLbls>
        <c:smooth val="0"/>
        <c:axId val="517265648"/>
        <c:axId val="517267608"/>
      </c:lineChart>
      <c:catAx>
        <c:axId val="517265648"/>
        <c:scaling>
          <c:orientation val="minMax"/>
        </c:scaling>
        <c:delete val="0"/>
        <c:axPos val="b"/>
        <c:numFmt formatCode="General" sourceLinked="1"/>
        <c:majorTickMark val="out"/>
        <c:minorTickMark val="none"/>
        <c:tickLblPos val="nextTo"/>
        <c:spPr>
          <a:noFill/>
          <a:ln w="9525" cap="flat" cmpd="sng" algn="ctr">
            <a:solidFill>
              <a:schemeClr val="tx2"/>
            </a:solidFill>
            <a:prstDash val="solid"/>
          </a:ln>
          <a:effectLst/>
        </c:spPr>
        <c:crossAx val="517267608"/>
        <c:crosses val="autoZero"/>
        <c:auto val="1"/>
        <c:lblAlgn val="ctr"/>
        <c:lblOffset val="100"/>
        <c:noMultiLvlLbl val="0"/>
      </c:catAx>
      <c:valAx>
        <c:axId val="517267608"/>
        <c:scaling>
          <c:orientation val="minMax"/>
          <c:max val="102"/>
          <c:min val="96"/>
        </c:scaling>
        <c:delete val="0"/>
        <c:axPos val="l"/>
        <c:majorGridlines>
          <c:spPr>
            <a:ln w="9525" cap="flat" cmpd="sng" algn="ctr">
              <a:solidFill>
                <a:schemeClr val="accent1"/>
              </a:solidFill>
              <a:prstDash val="solid"/>
            </a:ln>
            <a:effectLst/>
          </c:spPr>
        </c:majorGridlines>
        <c:title>
          <c:tx>
            <c:rich>
              <a:bodyPr rot="0" vert="horz"/>
              <a:lstStyle/>
              <a:p>
                <a:pPr>
                  <a:defRPr/>
                </a:pPr>
                <a:r>
                  <a:rPr lang="cs-CZ"/>
                  <a:t>%</a:t>
                </a:r>
              </a:p>
            </c:rich>
          </c:tx>
          <c:overlay val="0"/>
        </c:title>
        <c:numFmt formatCode="General" sourceLinked="1"/>
        <c:majorTickMark val="out"/>
        <c:minorTickMark val="none"/>
        <c:tickLblPos val="nextTo"/>
        <c:spPr>
          <a:noFill/>
          <a:ln w="9525" cap="flat" cmpd="sng" algn="ctr">
            <a:solidFill>
              <a:schemeClr val="tx2"/>
            </a:solidFill>
            <a:prstDash val="solid"/>
          </a:ln>
          <a:effectLst/>
        </c:spPr>
        <c:crossAx val="517265648"/>
        <c:crosses val="autoZero"/>
        <c:crossBetween val="between"/>
        <c:majorUnit val="1"/>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098904757397457E-2"/>
          <c:y val="8.7812668033167965E-2"/>
          <c:w val="0.89956594709070281"/>
          <c:h val="0.76807925707609148"/>
        </c:manualLayout>
      </c:layout>
      <c:lineChart>
        <c:grouping val="standard"/>
        <c:varyColors val="0"/>
        <c:ser>
          <c:idx val="0"/>
          <c:order val="0"/>
          <c:tx>
            <c:strRef>
              <c:f>obyvatelstvo!$I$12</c:f>
              <c:strCache>
                <c:ptCount val="1"/>
                <c:pt idx="0">
                  <c:v>Přírůstek celkový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obyvatelstvo!$I$13:$I$22</c:f>
              <c:numCache>
                <c:formatCode>General</c:formatCode>
                <c:ptCount val="10"/>
                <c:pt idx="0">
                  <c:v>-9</c:v>
                </c:pt>
                <c:pt idx="1">
                  <c:v>-20</c:v>
                </c:pt>
                <c:pt idx="2">
                  <c:v>-3</c:v>
                </c:pt>
                <c:pt idx="3">
                  <c:v>-6</c:v>
                </c:pt>
                <c:pt idx="4">
                  <c:v>11</c:v>
                </c:pt>
                <c:pt idx="5">
                  <c:v>-11</c:v>
                </c:pt>
                <c:pt idx="6">
                  <c:v>-2</c:v>
                </c:pt>
                <c:pt idx="7">
                  <c:v>3</c:v>
                </c:pt>
                <c:pt idx="8">
                  <c:v>-2</c:v>
                </c:pt>
                <c:pt idx="9">
                  <c:v>-7</c:v>
                </c:pt>
              </c:numCache>
            </c:numRef>
          </c:val>
          <c:smooth val="0"/>
        </c:ser>
        <c:ser>
          <c:idx val="1"/>
          <c:order val="1"/>
          <c:tx>
            <c:strRef>
              <c:f>obyvatelstvo!$H$12</c:f>
              <c:strCache>
                <c:ptCount val="1"/>
                <c:pt idx="0">
                  <c:v>Přírůstek migrační</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obyvatelstvo!$H$13:$H$22</c:f>
              <c:numCache>
                <c:formatCode>General</c:formatCode>
                <c:ptCount val="10"/>
                <c:pt idx="0">
                  <c:v>-12</c:v>
                </c:pt>
                <c:pt idx="1">
                  <c:v>-12</c:v>
                </c:pt>
                <c:pt idx="2">
                  <c:v>-5</c:v>
                </c:pt>
                <c:pt idx="3">
                  <c:v>-9</c:v>
                </c:pt>
                <c:pt idx="4">
                  <c:v>5</c:v>
                </c:pt>
                <c:pt idx="5">
                  <c:v>-12</c:v>
                </c:pt>
                <c:pt idx="6">
                  <c:v>-4</c:v>
                </c:pt>
                <c:pt idx="7">
                  <c:v>0</c:v>
                </c:pt>
                <c:pt idx="8">
                  <c:v>0</c:v>
                </c:pt>
                <c:pt idx="9">
                  <c:v>-2</c:v>
                </c:pt>
              </c:numCache>
            </c:numRef>
          </c:val>
          <c:smooth val="0"/>
        </c:ser>
        <c:ser>
          <c:idx val="2"/>
          <c:order val="2"/>
          <c:tx>
            <c:strRef>
              <c:f>obyvatelstvo!$G$12</c:f>
              <c:strCache>
                <c:ptCount val="1"/>
                <c:pt idx="0">
                  <c:v>Přírůstek přirozený</c:v>
                </c:pt>
              </c:strCache>
            </c:strRef>
          </c:tx>
          <c:spPr>
            <a:effectLst>
              <a:outerShdw blurRad="50800" dist="38100" dir="2700000" algn="tl" rotWithShape="0">
                <a:prstClr val="black">
                  <a:alpha val="40000"/>
                </a:prstClr>
              </a:outerShdw>
            </a:effectLst>
          </c:spPr>
          <c:marker>
            <c:symbol val="none"/>
          </c:marker>
          <c:cat>
            <c:numRef>
              <c:f>obyvatelstvo!$B$13:$B$22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obyvatelstvo!$G$13:$G$22</c:f>
              <c:numCache>
                <c:formatCode>General</c:formatCode>
                <c:ptCount val="10"/>
                <c:pt idx="0">
                  <c:v>3</c:v>
                </c:pt>
                <c:pt idx="1">
                  <c:v>-8</c:v>
                </c:pt>
                <c:pt idx="2">
                  <c:v>2</c:v>
                </c:pt>
                <c:pt idx="3">
                  <c:v>3</c:v>
                </c:pt>
                <c:pt idx="4">
                  <c:v>6</c:v>
                </c:pt>
                <c:pt idx="5">
                  <c:v>1</c:v>
                </c:pt>
                <c:pt idx="6">
                  <c:v>2</c:v>
                </c:pt>
                <c:pt idx="7">
                  <c:v>3</c:v>
                </c:pt>
                <c:pt idx="8">
                  <c:v>-2</c:v>
                </c:pt>
                <c:pt idx="9">
                  <c:v>-5</c:v>
                </c:pt>
              </c:numCache>
            </c:numRef>
          </c:val>
          <c:smooth val="0"/>
        </c:ser>
        <c:dLbls>
          <c:showLegendKey val="0"/>
          <c:showVal val="0"/>
          <c:showCatName val="0"/>
          <c:showSerName val="0"/>
          <c:showPercent val="0"/>
          <c:showBubbleSize val="0"/>
        </c:dLbls>
        <c:smooth val="0"/>
        <c:axId val="517270352"/>
        <c:axId val="517271920"/>
      </c:lineChart>
      <c:catAx>
        <c:axId val="517270352"/>
        <c:scaling>
          <c:orientation val="minMax"/>
        </c:scaling>
        <c:delete val="0"/>
        <c:axPos val="b"/>
        <c:numFmt formatCode="General" sourceLinked="1"/>
        <c:majorTickMark val="out"/>
        <c:minorTickMark val="none"/>
        <c:tickLblPos val="nextTo"/>
        <c:spPr>
          <a:noFill/>
          <a:ln w="9525" cap="flat" cmpd="sng" algn="ctr">
            <a:solidFill>
              <a:srgbClr val="1F497D"/>
            </a:solidFill>
            <a:prstDash val="solid"/>
          </a:ln>
          <a:effectLst/>
        </c:spPr>
        <c:crossAx val="517271920"/>
        <c:crosses val="autoZero"/>
        <c:auto val="1"/>
        <c:lblAlgn val="ctr"/>
        <c:lblOffset val="100"/>
        <c:noMultiLvlLbl val="0"/>
      </c:catAx>
      <c:valAx>
        <c:axId val="517271920"/>
        <c:scaling>
          <c:orientation val="minMax"/>
          <c:max val="15"/>
          <c:min val="-25"/>
        </c:scaling>
        <c:delete val="0"/>
        <c:axPos val="l"/>
        <c:majorGridlines>
          <c:spPr>
            <a:ln w="9525" cap="flat" cmpd="sng" algn="ctr">
              <a:solidFill>
                <a:srgbClr val="1F497D"/>
              </a:solidFill>
              <a:prstDash val="solid"/>
            </a:ln>
            <a:effectLst/>
          </c:spPr>
        </c:majorGridlines>
        <c:title>
          <c:tx>
            <c:rich>
              <a:bodyPr rot="-5400000" vert="horz"/>
              <a:lstStyle/>
              <a:p>
                <a:pPr algn="ctr" rtl="0">
                  <a:defRPr b="0"/>
                </a:pPr>
                <a:r>
                  <a:rPr lang="cs-CZ" b="0"/>
                  <a:t>absolutní hodnoty obyvatel</a:t>
                </a:r>
              </a:p>
              <a:p>
                <a:pPr algn="ctr" rtl="0">
                  <a:defRPr b="0"/>
                </a:pPr>
                <a:endParaRPr lang="cs-CZ" b="0"/>
              </a:p>
            </c:rich>
          </c:tx>
          <c:layout>
            <c:manualLayout>
              <c:xMode val="edge"/>
              <c:yMode val="edge"/>
              <c:x val="7.4410533394069476E-4"/>
              <c:y val="8.9940476190476196E-2"/>
            </c:manualLayout>
          </c:layout>
          <c:overlay val="0"/>
        </c:title>
        <c:numFmt formatCode="General" sourceLinked="1"/>
        <c:majorTickMark val="out"/>
        <c:minorTickMark val="none"/>
        <c:tickLblPos val="nextTo"/>
        <c:spPr>
          <a:noFill/>
          <a:ln w="9525" cap="flat" cmpd="sng" algn="ctr">
            <a:solidFill>
              <a:srgbClr val="1F497D"/>
            </a:solidFill>
            <a:prstDash val="solid"/>
          </a:ln>
          <a:effectLst/>
        </c:spPr>
        <c:crossAx val="517270352"/>
        <c:crosses val="autoZero"/>
        <c:crossBetween val="between"/>
        <c:majorUnit val="5"/>
      </c:valAx>
      <c:spPr>
        <a:ln>
          <a:noFill/>
        </a:ln>
      </c:spPr>
    </c:plotArea>
    <c:legend>
      <c:legendPos val="b"/>
      <c:overlay val="0"/>
    </c:legend>
    <c:plotVisOnly val="1"/>
    <c:dispBlanksAs val="gap"/>
    <c:showDLblsOverMax val="0"/>
  </c:chart>
  <c:spPr>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ysClr val="windowText" lastClr="000000"/>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areaChart>
        <c:grouping val="percentStacked"/>
        <c:varyColors val="0"/>
        <c:ser>
          <c:idx val="0"/>
          <c:order val="0"/>
          <c:tx>
            <c:strRef>
              <c:f>obyvatelstvo!$P$50</c:f>
              <c:strCache>
                <c:ptCount val="1"/>
                <c:pt idx="0">
                  <c:v>0 - 14 let</c:v>
                </c:pt>
              </c:strCache>
            </c:strRef>
          </c:tx>
          <c:cat>
            <c:numRef>
              <c:f>obyvatelstvo!$M$49:$O$49</c:f>
              <c:numCache>
                <c:formatCode>General</c:formatCode>
                <c:ptCount val="3"/>
                <c:pt idx="0">
                  <c:v>2001</c:v>
                </c:pt>
                <c:pt idx="1">
                  <c:v>2011</c:v>
                </c:pt>
                <c:pt idx="2">
                  <c:v>2017</c:v>
                </c:pt>
              </c:numCache>
            </c:numRef>
          </c:cat>
          <c:val>
            <c:numRef>
              <c:f>obyvatelstvo!$M$50:$O$50</c:f>
              <c:numCache>
                <c:formatCode>0.0</c:formatCode>
                <c:ptCount val="3"/>
                <c:pt idx="0">
                  <c:v>18.680297397769515</c:v>
                </c:pt>
                <c:pt idx="1">
                  <c:v>15.804597701149426</c:v>
                </c:pt>
                <c:pt idx="2">
                  <c:v>15.54054054054054</c:v>
                </c:pt>
              </c:numCache>
            </c:numRef>
          </c:val>
        </c:ser>
        <c:ser>
          <c:idx val="1"/>
          <c:order val="1"/>
          <c:tx>
            <c:strRef>
              <c:f>obyvatelstvo!$P$51</c:f>
              <c:strCache>
                <c:ptCount val="1"/>
                <c:pt idx="0">
                  <c:v>15 - 64 let</c:v>
                </c:pt>
              </c:strCache>
            </c:strRef>
          </c:tx>
          <c:spPr>
            <a:ln w="25400">
              <a:noFill/>
            </a:ln>
          </c:spPr>
          <c:cat>
            <c:numRef>
              <c:f>obyvatelstvo!$M$49:$O$49</c:f>
              <c:numCache>
                <c:formatCode>General</c:formatCode>
                <c:ptCount val="3"/>
                <c:pt idx="0">
                  <c:v>2001</c:v>
                </c:pt>
                <c:pt idx="1">
                  <c:v>2011</c:v>
                </c:pt>
                <c:pt idx="2">
                  <c:v>2017</c:v>
                </c:pt>
              </c:numCache>
            </c:numRef>
          </c:cat>
          <c:val>
            <c:numRef>
              <c:f>obyvatelstvo!$M$51:$O$51</c:f>
              <c:numCache>
                <c:formatCode>0.0</c:formatCode>
                <c:ptCount val="3"/>
                <c:pt idx="0">
                  <c:v>69.423791821561338</c:v>
                </c:pt>
                <c:pt idx="1">
                  <c:v>68.965517241379317</c:v>
                </c:pt>
                <c:pt idx="2">
                  <c:v>63.803088803088805</c:v>
                </c:pt>
              </c:numCache>
            </c:numRef>
          </c:val>
        </c:ser>
        <c:ser>
          <c:idx val="2"/>
          <c:order val="2"/>
          <c:tx>
            <c:strRef>
              <c:f>obyvatelstvo!$P$52</c:f>
              <c:strCache>
                <c:ptCount val="1"/>
                <c:pt idx="0">
                  <c:v>65 a více let</c:v>
                </c:pt>
              </c:strCache>
            </c:strRef>
          </c:tx>
          <c:spPr>
            <a:ln w="25400">
              <a:noFill/>
            </a:ln>
          </c:spPr>
          <c:cat>
            <c:numRef>
              <c:f>obyvatelstvo!$M$49:$O$49</c:f>
              <c:numCache>
                <c:formatCode>General</c:formatCode>
                <c:ptCount val="3"/>
                <c:pt idx="0">
                  <c:v>2001</c:v>
                </c:pt>
                <c:pt idx="1">
                  <c:v>2011</c:v>
                </c:pt>
                <c:pt idx="2">
                  <c:v>2017</c:v>
                </c:pt>
              </c:numCache>
            </c:numRef>
          </c:cat>
          <c:val>
            <c:numRef>
              <c:f>obyvatelstvo!$M$52:$O$52</c:f>
              <c:numCache>
                <c:formatCode>0.0</c:formatCode>
                <c:ptCount val="3"/>
                <c:pt idx="0">
                  <c:v>11.895910780669144</c:v>
                </c:pt>
                <c:pt idx="1">
                  <c:v>15.229885057471265</c:v>
                </c:pt>
                <c:pt idx="2">
                  <c:v>20.656370656370658</c:v>
                </c:pt>
              </c:numCache>
            </c:numRef>
          </c:val>
        </c:ser>
        <c:dLbls>
          <c:showLegendKey val="0"/>
          <c:showVal val="0"/>
          <c:showCatName val="0"/>
          <c:showSerName val="0"/>
          <c:showPercent val="0"/>
          <c:showBubbleSize val="0"/>
        </c:dLbls>
        <c:axId val="517272312"/>
        <c:axId val="517269568"/>
      </c:areaChart>
      <c:catAx>
        <c:axId val="517272312"/>
        <c:scaling>
          <c:orientation val="minMax"/>
        </c:scaling>
        <c:delete val="0"/>
        <c:axPos val="b"/>
        <c:numFmt formatCode="General" sourceLinked="1"/>
        <c:majorTickMark val="out"/>
        <c:minorTickMark val="none"/>
        <c:tickLblPos val="nextTo"/>
        <c:spPr>
          <a:ln>
            <a:solidFill>
              <a:schemeClr val="tx2"/>
            </a:solidFill>
          </a:ln>
        </c:spPr>
        <c:crossAx val="517269568"/>
        <c:crosses val="autoZero"/>
        <c:auto val="1"/>
        <c:lblAlgn val="ctr"/>
        <c:lblOffset val="100"/>
        <c:noMultiLvlLbl val="0"/>
      </c:catAx>
      <c:valAx>
        <c:axId val="517269568"/>
        <c:scaling>
          <c:orientation val="minMax"/>
        </c:scaling>
        <c:delete val="0"/>
        <c:axPos val="l"/>
        <c:majorGridlines/>
        <c:numFmt formatCode="0%" sourceLinked="1"/>
        <c:majorTickMark val="out"/>
        <c:minorTickMark val="none"/>
        <c:tickLblPos val="nextTo"/>
        <c:spPr>
          <a:ln>
            <a:solidFill>
              <a:schemeClr val="tx2"/>
            </a:solidFill>
          </a:ln>
        </c:spPr>
        <c:crossAx val="517272312"/>
        <c:crosses val="autoZero"/>
        <c:crossBetween val="midCat"/>
      </c:valAx>
    </c:plotArea>
    <c:legend>
      <c:legendPos val="b"/>
      <c:overlay val="0"/>
    </c:legend>
    <c:plotVisOnly val="1"/>
    <c:dispBlanksAs val="zero"/>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a:sp3d>
  </c:spPr>
  <c:txPr>
    <a:bodyPr/>
    <a:lstStyle/>
    <a:p>
      <a:pPr>
        <a:defRPr>
          <a:solidFill>
            <a:schemeClr val="dk1"/>
          </a:solidFill>
          <a:latin typeface="+mn-lt"/>
          <a:ea typeface="+mn-ea"/>
          <a:cs typeface="+mn-cs"/>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obyvatelstvo!$J$65</c:f>
              <c:strCache>
                <c:ptCount val="1"/>
                <c:pt idx="0">
                  <c:v>podíl ženy</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obyvatelstvo!$I$66:$I$83</c:f>
              <c:numCache>
                <c:formatCode>#,##0_ ;\-#,##0\ </c:formatCode>
                <c:ptCount val="18"/>
                <c:pt idx="0">
                  <c:v>22</c:v>
                </c:pt>
                <c:pt idx="1">
                  <c:v>35</c:v>
                </c:pt>
                <c:pt idx="2">
                  <c:v>21</c:v>
                </c:pt>
                <c:pt idx="3">
                  <c:v>26</c:v>
                </c:pt>
                <c:pt idx="4">
                  <c:v>28</c:v>
                </c:pt>
                <c:pt idx="5">
                  <c:v>26</c:v>
                </c:pt>
                <c:pt idx="6">
                  <c:v>32</c:v>
                </c:pt>
                <c:pt idx="7">
                  <c:v>35</c:v>
                </c:pt>
                <c:pt idx="8">
                  <c:v>43</c:v>
                </c:pt>
                <c:pt idx="9">
                  <c:v>41</c:v>
                </c:pt>
                <c:pt idx="10">
                  <c:v>25</c:v>
                </c:pt>
                <c:pt idx="11">
                  <c:v>25</c:v>
                </c:pt>
                <c:pt idx="12">
                  <c:v>28</c:v>
                </c:pt>
                <c:pt idx="13">
                  <c:v>39</c:v>
                </c:pt>
                <c:pt idx="14">
                  <c:v>41</c:v>
                </c:pt>
                <c:pt idx="15">
                  <c:v>24</c:v>
                </c:pt>
                <c:pt idx="16">
                  <c:v>8</c:v>
                </c:pt>
                <c:pt idx="17">
                  <c:v>10</c:v>
                </c:pt>
              </c:numCache>
            </c:numRef>
          </c:val>
        </c:ser>
        <c:ser>
          <c:idx val="1"/>
          <c:order val="1"/>
          <c:tx>
            <c:strRef>
              <c:f>obyvatelstvo!$L$65</c:f>
              <c:strCache>
                <c:ptCount val="1"/>
                <c:pt idx="0">
                  <c:v>podíl muži</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obyvatelstvo!$B$66:$B$83</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c:v>
                </c:pt>
              </c:strCache>
            </c:strRef>
          </c:cat>
          <c:val>
            <c:numRef>
              <c:f>obyvatelstvo!$K$66:$K$83</c:f>
              <c:numCache>
                <c:formatCode>#,##0_ ;\-#,##0\ </c:formatCode>
                <c:ptCount val="18"/>
                <c:pt idx="0">
                  <c:v>30</c:v>
                </c:pt>
                <c:pt idx="1">
                  <c:v>19</c:v>
                </c:pt>
                <c:pt idx="2">
                  <c:v>34</c:v>
                </c:pt>
                <c:pt idx="3">
                  <c:v>29</c:v>
                </c:pt>
                <c:pt idx="4">
                  <c:v>31</c:v>
                </c:pt>
                <c:pt idx="5">
                  <c:v>31</c:v>
                </c:pt>
                <c:pt idx="6">
                  <c:v>34</c:v>
                </c:pt>
                <c:pt idx="7">
                  <c:v>39</c:v>
                </c:pt>
                <c:pt idx="8">
                  <c:v>55</c:v>
                </c:pt>
                <c:pt idx="9">
                  <c:v>49</c:v>
                </c:pt>
                <c:pt idx="10">
                  <c:v>31</c:v>
                </c:pt>
                <c:pt idx="11">
                  <c:v>32</c:v>
                </c:pt>
                <c:pt idx="12">
                  <c:v>21</c:v>
                </c:pt>
                <c:pt idx="13">
                  <c:v>43</c:v>
                </c:pt>
                <c:pt idx="14">
                  <c:v>27</c:v>
                </c:pt>
                <c:pt idx="15">
                  <c:v>16</c:v>
                </c:pt>
                <c:pt idx="16">
                  <c:v>4</c:v>
                </c:pt>
                <c:pt idx="17">
                  <c:v>2</c:v>
                </c:pt>
              </c:numCache>
            </c:numRef>
          </c:val>
        </c:ser>
        <c:dLbls>
          <c:showLegendKey val="0"/>
          <c:showVal val="0"/>
          <c:showCatName val="0"/>
          <c:showSerName val="0"/>
          <c:showPercent val="0"/>
          <c:showBubbleSize val="0"/>
        </c:dLbls>
        <c:gapWidth val="150"/>
        <c:overlap val="100"/>
        <c:axId val="517266040"/>
        <c:axId val="517271528"/>
      </c:barChart>
      <c:catAx>
        <c:axId val="517266040"/>
        <c:scaling>
          <c:orientation val="minMax"/>
        </c:scaling>
        <c:delete val="0"/>
        <c:axPos val="l"/>
        <c:title>
          <c:tx>
            <c:rich>
              <a:bodyPr rot="-5400000" vert="horz"/>
              <a:lstStyle/>
              <a:p>
                <a:pPr>
                  <a:defRPr b="0"/>
                </a:pPr>
                <a:r>
                  <a:rPr lang="cs-CZ" b="0"/>
                  <a:t>pětileté věkové skupiny obyvatel</a:t>
                </a:r>
              </a:p>
            </c:rich>
          </c:tx>
          <c:overlay val="0"/>
        </c:title>
        <c:numFmt formatCode="General" sourceLinked="0"/>
        <c:majorTickMark val="out"/>
        <c:minorTickMark val="none"/>
        <c:tickLblPos val="nextTo"/>
        <c:spPr>
          <a:ln>
            <a:solidFill>
              <a:schemeClr val="accent1"/>
            </a:solidFill>
          </a:ln>
        </c:spPr>
        <c:crossAx val="517271528"/>
        <c:crosses val="autoZero"/>
        <c:auto val="1"/>
        <c:lblAlgn val="ctr"/>
        <c:lblOffset val="100"/>
        <c:noMultiLvlLbl val="0"/>
      </c:catAx>
      <c:valAx>
        <c:axId val="517271528"/>
        <c:scaling>
          <c:orientation val="minMax"/>
          <c:max val="100"/>
          <c:min val="0"/>
        </c:scaling>
        <c:delete val="0"/>
        <c:axPos val="b"/>
        <c:majorGridlines>
          <c:spPr>
            <a:ln>
              <a:solidFill>
                <a:schemeClr val="accent1"/>
              </a:solidFill>
            </a:ln>
          </c:spPr>
        </c:majorGridlines>
        <c:title>
          <c:tx>
            <c:rich>
              <a:bodyPr/>
              <a:lstStyle/>
              <a:p>
                <a:pPr>
                  <a:defRPr b="0"/>
                </a:pPr>
                <a:r>
                  <a:rPr lang="cs-CZ" b="0"/>
                  <a:t>p</a:t>
                </a:r>
                <a:r>
                  <a:rPr lang="en-US" b="0"/>
                  <a:t>o</a:t>
                </a:r>
                <a:r>
                  <a:rPr lang="cs-CZ" b="0"/>
                  <a:t>čet obyvatel ve</a:t>
                </a:r>
                <a:r>
                  <a:rPr lang="cs-CZ" b="0" baseline="0"/>
                  <a:t> </a:t>
                </a:r>
                <a:r>
                  <a:rPr lang="cs-CZ" b="0"/>
                  <a:t>věkových</a:t>
                </a:r>
                <a:r>
                  <a:rPr lang="cs-CZ" b="0" baseline="0"/>
                  <a:t> skupinách s podílem mežů a žen</a:t>
                </a:r>
                <a:r>
                  <a:rPr lang="cs-CZ" b="0"/>
                  <a:t>  </a:t>
                </a:r>
              </a:p>
            </c:rich>
          </c:tx>
          <c:overlay val="0"/>
        </c:title>
        <c:numFmt formatCode="#,##0_ ;\-#,##0\ " sourceLinked="1"/>
        <c:majorTickMark val="out"/>
        <c:minorTickMark val="none"/>
        <c:tickLblPos val="nextTo"/>
        <c:spPr>
          <a:ln>
            <a:solidFill>
              <a:schemeClr val="tx2"/>
            </a:solidFill>
          </a:ln>
        </c:spPr>
        <c:crossAx val="517266040"/>
        <c:crosses val="autoZero"/>
        <c:crossBetween val="between"/>
      </c:valAx>
    </c:plotArea>
    <c:legend>
      <c:legendPos val="b"/>
      <c:overlay val="0"/>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dLbls>
            <c:dLbl>
              <c:idx val="3"/>
              <c:layout>
                <c:manualLayout>
                  <c:x val="-1.1088188122554852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352054032675593E-3"/>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cs-CZ"/>
              </a:p>
            </c:txPr>
            <c:showLegendKey val="0"/>
            <c:showVal val="1"/>
            <c:showCatName val="0"/>
            <c:showSerName val="0"/>
            <c:showPercent val="0"/>
            <c:showBubbleSize val="0"/>
            <c:showLeaderLines val="1"/>
            <c:extLst>
              <c:ext xmlns:c15="http://schemas.microsoft.com/office/drawing/2012/chart" uri="{CE6537A1-D6FC-4f65-9D91-7224C49458BB}"/>
            </c:extLst>
          </c:dLbls>
          <c:cat>
            <c:strRef>
              <c:f>obyvatelstvo!$J$91:$J$95</c:f>
              <c:strCache>
                <c:ptCount val="5"/>
                <c:pt idx="0">
                  <c:v>základní vč. neukončeného</c:v>
                </c:pt>
                <c:pt idx="1">
                  <c:v>střední vč. vyučení (bez maturity)</c:v>
                </c:pt>
                <c:pt idx="2">
                  <c:v>úplné střední (s maturitou) a vyšší odborné</c:v>
                </c:pt>
                <c:pt idx="3">
                  <c:v>vysokoškolské</c:v>
                </c:pt>
                <c:pt idx="4">
                  <c:v>bez vzdělání</c:v>
                </c:pt>
              </c:strCache>
            </c:strRef>
          </c:cat>
          <c:val>
            <c:numRef>
              <c:f>obyvatelstvo!$K$91:$K$95</c:f>
              <c:numCache>
                <c:formatCode>General</c:formatCode>
                <c:ptCount val="5"/>
                <c:pt idx="0">
                  <c:v>206</c:v>
                </c:pt>
                <c:pt idx="1">
                  <c:v>363</c:v>
                </c:pt>
                <c:pt idx="2">
                  <c:v>213</c:v>
                </c:pt>
                <c:pt idx="3">
                  <c:v>34</c:v>
                </c:pt>
                <c:pt idx="4" formatCode="###,###,##0">
                  <c:v>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txPr>
        <a:bodyPr/>
        <a:lstStyle/>
        <a:p>
          <a:pPr rtl="0">
            <a:defRPr/>
          </a:pPr>
          <a:endParaRPr lang="cs-CZ"/>
        </a:p>
      </c:txPr>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a:bevelT w="190500" h="38100"/>
    </a:sp3d>
  </c:spPr>
  <c:txPr>
    <a:bodyPr/>
    <a:lstStyle/>
    <a:p>
      <a:pPr>
        <a:defRPr>
          <a:solidFill>
            <a:schemeClr val="dk1"/>
          </a:solidFill>
          <a:latin typeface="+mn-lt"/>
          <a:ea typeface="+mn-ea"/>
          <a:cs typeface="+mn-cs"/>
        </a:defRPr>
      </a:pPr>
      <a:endParaRPr lang="cs-CZ"/>
    </a:p>
  </c:txPr>
  <c:externalData r:id="rId2">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80E11F2-1AF2-4BCB-B200-6646C0F5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1348</Words>
  <Characters>7958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Petr Ponikelský</cp:lastModifiedBy>
  <cp:revision>3</cp:revision>
  <cp:lastPrinted>2017-10-30T09:24:00Z</cp:lastPrinted>
  <dcterms:created xsi:type="dcterms:W3CDTF">2019-04-11T20:24:00Z</dcterms:created>
  <dcterms:modified xsi:type="dcterms:W3CDTF">2019-04-11T20:25:00Z</dcterms:modified>
</cp:coreProperties>
</file>