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EF" w:rsidRPr="005E78D3" w:rsidRDefault="009201EF" w:rsidP="005E78D3">
      <w:pPr>
        <w:pStyle w:val="Nadpis2"/>
      </w:pPr>
      <w:bookmarkStart w:id="0" w:name="_Toc420948851"/>
      <w:bookmarkStart w:id="1" w:name="_Toc431553415"/>
      <w:bookmarkStart w:id="2" w:name="_Toc4658184"/>
      <w:r w:rsidRPr="005E78D3">
        <w:t>Obyvatelstvo</w:t>
      </w:r>
      <w:bookmarkEnd w:id="0"/>
      <w:bookmarkEnd w:id="1"/>
      <w:bookmarkEnd w:id="2"/>
    </w:p>
    <w:p w:rsidR="00737C44" w:rsidRPr="009201EF" w:rsidRDefault="00737C44" w:rsidP="00737C44">
      <w:pPr>
        <w:jc w:val="both"/>
        <w:rPr>
          <w:rFonts w:ascii="Times New Roman" w:hAnsi="Times New Roman" w:cs="Times New Roman"/>
        </w:rPr>
      </w:pPr>
      <w:bookmarkStart w:id="3" w:name="_Toc420948853"/>
      <w:bookmarkStart w:id="4" w:name="_Toc431553416"/>
      <w:bookmarkStart w:id="5" w:name="_Toc4658185"/>
      <w:r w:rsidRPr="009201EF">
        <w:rPr>
          <w:rFonts w:ascii="Times New Roman" w:hAnsi="Times New Roman" w:cs="Times New Roman"/>
        </w:rPr>
        <w:t>V kapitole obyvatelstvo jsou sledovány základní</w:t>
      </w:r>
      <w:r>
        <w:rPr>
          <w:rFonts w:ascii="Times New Roman" w:hAnsi="Times New Roman" w:cs="Times New Roman"/>
        </w:rPr>
        <w:t xml:space="preserve"> demografické</w:t>
      </w:r>
      <w:r w:rsidRPr="009201EF">
        <w:rPr>
          <w:rFonts w:ascii="Times New Roman" w:hAnsi="Times New Roman" w:cs="Times New Roman"/>
        </w:rPr>
        <w:t xml:space="preserve"> ch</w:t>
      </w:r>
      <w:r>
        <w:rPr>
          <w:rFonts w:ascii="Times New Roman" w:hAnsi="Times New Roman" w:cs="Times New Roman"/>
        </w:rPr>
        <w:t>arakteristiky -</w:t>
      </w:r>
      <w:r w:rsidRPr="009201EF">
        <w:rPr>
          <w:rFonts w:ascii="Times New Roman" w:hAnsi="Times New Roman" w:cs="Times New Roman"/>
        </w:rPr>
        <w:t xml:space="preserve"> vývoj celkového počtu obyvatelstva, přirozený přírůstek a úbytek, přírůstek stěhováním, věková a vzdělanostní struktura obyvatelstva.</w:t>
      </w:r>
      <w:r>
        <w:rPr>
          <w:rFonts w:ascii="Times New Roman" w:hAnsi="Times New Roman" w:cs="Times New Roman"/>
        </w:rPr>
        <w:t xml:space="preserve">  </w:t>
      </w:r>
    </w:p>
    <w:p w:rsidR="00737C44" w:rsidRPr="009201EF" w:rsidRDefault="00737C44" w:rsidP="00737C44">
      <w:pPr>
        <w:spacing w:after="0" w:line="240" w:lineRule="auto"/>
        <w:rPr>
          <w:rFonts w:ascii="Times New Roman" w:hAnsi="Times New Roman" w:cs="Times New Roman"/>
          <w:sz w:val="18"/>
        </w:rPr>
      </w:pPr>
      <w:r>
        <w:rPr>
          <w:rFonts w:ascii="Times New Roman" w:hAnsi="Times New Roman" w:cs="Times New Roman"/>
          <w:sz w:val="18"/>
        </w:rPr>
        <w:t>Tabulka: Vývoj</w:t>
      </w:r>
      <w:r w:rsidRPr="009201EF">
        <w:rPr>
          <w:rFonts w:ascii="Times New Roman" w:hAnsi="Times New Roman" w:cs="Times New Roman"/>
          <w:sz w:val="18"/>
        </w:rPr>
        <w:t xml:space="preserve"> počtu obyvatel</w:t>
      </w:r>
      <w:r>
        <w:rPr>
          <w:rFonts w:ascii="Times New Roman" w:hAnsi="Times New Roman" w:cs="Times New Roman"/>
          <w:sz w:val="18"/>
        </w:rPr>
        <w:t xml:space="preserve"> celkem a dle pohlaví</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961"/>
        <w:gridCol w:w="796"/>
        <w:gridCol w:w="796"/>
        <w:gridCol w:w="796"/>
        <w:gridCol w:w="796"/>
        <w:gridCol w:w="796"/>
        <w:gridCol w:w="796"/>
        <w:gridCol w:w="796"/>
        <w:gridCol w:w="796"/>
        <w:gridCol w:w="835"/>
        <w:gridCol w:w="1048"/>
      </w:tblGrid>
      <w:tr w:rsidR="00737C44" w:rsidRPr="009E5A40" w:rsidTr="00FE20C1">
        <w:trPr>
          <w:trHeight w:val="255"/>
        </w:trPr>
        <w:tc>
          <w:tcPr>
            <w:tcW w:w="522"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Rok</w:t>
            </w:r>
          </w:p>
        </w:tc>
        <w:tc>
          <w:tcPr>
            <w:tcW w:w="432"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2008</w:t>
            </w:r>
          </w:p>
        </w:tc>
        <w:tc>
          <w:tcPr>
            <w:tcW w:w="432"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2009</w:t>
            </w:r>
          </w:p>
        </w:tc>
        <w:tc>
          <w:tcPr>
            <w:tcW w:w="432"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2010</w:t>
            </w:r>
          </w:p>
        </w:tc>
        <w:tc>
          <w:tcPr>
            <w:tcW w:w="432"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2011</w:t>
            </w:r>
          </w:p>
        </w:tc>
        <w:tc>
          <w:tcPr>
            <w:tcW w:w="432"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2012</w:t>
            </w:r>
          </w:p>
        </w:tc>
        <w:tc>
          <w:tcPr>
            <w:tcW w:w="432"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2013</w:t>
            </w:r>
          </w:p>
        </w:tc>
        <w:tc>
          <w:tcPr>
            <w:tcW w:w="432"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2014</w:t>
            </w:r>
          </w:p>
        </w:tc>
        <w:tc>
          <w:tcPr>
            <w:tcW w:w="432"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2015</w:t>
            </w:r>
          </w:p>
        </w:tc>
        <w:tc>
          <w:tcPr>
            <w:tcW w:w="453"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2016</w:t>
            </w:r>
          </w:p>
        </w:tc>
        <w:tc>
          <w:tcPr>
            <w:tcW w:w="571"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2017</w:t>
            </w:r>
          </w:p>
        </w:tc>
      </w:tr>
      <w:tr w:rsidR="00737C44" w:rsidRPr="009E5A40" w:rsidTr="00FE20C1">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Celkem</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981</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962</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944</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914</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907</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901</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887</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888</w:t>
            </w:r>
          </w:p>
        </w:tc>
        <w:tc>
          <w:tcPr>
            <w:tcW w:w="453"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877</w:t>
            </w:r>
          </w:p>
        </w:tc>
        <w:tc>
          <w:tcPr>
            <w:tcW w:w="57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878</w:t>
            </w:r>
          </w:p>
        </w:tc>
      </w:tr>
      <w:tr w:rsidR="00737C44" w:rsidRPr="009E5A40" w:rsidTr="00FE20C1">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Muži</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524</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511</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508</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488</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486</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483</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478</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473</w:t>
            </w:r>
          </w:p>
        </w:tc>
        <w:tc>
          <w:tcPr>
            <w:tcW w:w="453"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463</w:t>
            </w:r>
          </w:p>
        </w:tc>
        <w:tc>
          <w:tcPr>
            <w:tcW w:w="57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463</w:t>
            </w:r>
          </w:p>
        </w:tc>
      </w:tr>
      <w:tr w:rsidR="00737C44" w:rsidRPr="009E5A40" w:rsidTr="00FE20C1">
        <w:trPr>
          <w:trHeight w:val="255"/>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Ženy</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457</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451</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436</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426</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421</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418</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409</w:t>
            </w:r>
          </w:p>
        </w:tc>
        <w:tc>
          <w:tcPr>
            <w:tcW w:w="432"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415</w:t>
            </w:r>
          </w:p>
        </w:tc>
        <w:tc>
          <w:tcPr>
            <w:tcW w:w="453"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414</w:t>
            </w:r>
          </w:p>
        </w:tc>
        <w:tc>
          <w:tcPr>
            <w:tcW w:w="57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415</w:t>
            </w:r>
          </w:p>
        </w:tc>
      </w:tr>
    </w:tbl>
    <w:p w:rsidR="00737C44" w:rsidRPr="009201EF" w:rsidRDefault="00737C44" w:rsidP="00737C44">
      <w:pPr>
        <w:rPr>
          <w:rFonts w:ascii="Times New Roman" w:hAnsi="Times New Roman" w:cs="Times New Roman"/>
          <w:sz w:val="18"/>
        </w:rPr>
      </w:pPr>
      <w:r w:rsidRPr="009201EF">
        <w:rPr>
          <w:rFonts w:ascii="Times New Roman" w:hAnsi="Times New Roman" w:cs="Times New Roman"/>
          <w:sz w:val="18"/>
        </w:rPr>
        <w:t>Zdroj: ČSÚ, vlastní zpracování</w:t>
      </w:r>
    </w:p>
    <w:p w:rsidR="00737C44" w:rsidRDefault="00737C44" w:rsidP="00737C44">
      <w:pPr>
        <w:jc w:val="both"/>
        <w:rPr>
          <w:rFonts w:ascii="Times New Roman" w:hAnsi="Times New Roman" w:cs="Times New Roman"/>
        </w:rPr>
      </w:pPr>
      <w:r w:rsidRPr="009201EF">
        <w:rPr>
          <w:rFonts w:ascii="Times New Roman" w:hAnsi="Times New Roman" w:cs="Times New Roman"/>
        </w:rPr>
        <w:t>Vývoj celkového počtu obyvatel má ve sledovaném období</w:t>
      </w:r>
      <w:r>
        <w:rPr>
          <w:rFonts w:ascii="Times New Roman" w:hAnsi="Times New Roman" w:cs="Times New Roman"/>
        </w:rPr>
        <w:t xml:space="preserve"> (2008 – 2017)</w:t>
      </w:r>
      <w:r w:rsidRPr="009201EF">
        <w:rPr>
          <w:rFonts w:ascii="Times New Roman" w:hAnsi="Times New Roman" w:cs="Times New Roman"/>
        </w:rPr>
        <w:t xml:space="preserve"> </w:t>
      </w:r>
      <w:r>
        <w:rPr>
          <w:rFonts w:ascii="Times New Roman" w:hAnsi="Times New Roman" w:cs="Times New Roman"/>
        </w:rPr>
        <w:t xml:space="preserve">klesající vývojovou charakteristiku. V průběhu poslední dekády počet obyvatel klesl o 103 obyvatel (10,5 %). </w:t>
      </w:r>
    </w:p>
    <w:p w:rsidR="00737C44" w:rsidRPr="009201EF" w:rsidRDefault="00737C44" w:rsidP="00737C44">
      <w:pPr>
        <w:spacing w:after="0" w:line="240" w:lineRule="auto"/>
        <w:jc w:val="both"/>
        <w:rPr>
          <w:rFonts w:ascii="Times New Roman" w:hAnsi="Times New Roman" w:cs="Times New Roman"/>
        </w:rPr>
      </w:pPr>
    </w:p>
    <w:p w:rsidR="00737C44" w:rsidRDefault="00737C44" w:rsidP="00737C44">
      <w:pPr>
        <w:jc w:val="both"/>
        <w:rPr>
          <w:rFonts w:ascii="Times New Roman" w:hAnsi="Times New Roman" w:cs="Times New Roman"/>
        </w:rPr>
      </w:pPr>
      <w:r w:rsidRPr="009201EF">
        <w:rPr>
          <w:rFonts w:ascii="Times New Roman" w:hAnsi="Times New Roman" w:cs="Times New Roman"/>
        </w:rPr>
        <w:t xml:space="preserve">Následující graf zachycuje </w:t>
      </w:r>
      <w:r>
        <w:rPr>
          <w:rFonts w:ascii="Times New Roman" w:hAnsi="Times New Roman" w:cs="Times New Roman"/>
        </w:rPr>
        <w:t>obec</w:t>
      </w:r>
      <w:r w:rsidRPr="009201EF">
        <w:rPr>
          <w:rFonts w:ascii="Times New Roman" w:hAnsi="Times New Roman" w:cs="Times New Roman"/>
        </w:rPr>
        <w:t xml:space="preserve"> ve srovnání s SO ORP </w:t>
      </w:r>
      <w:r>
        <w:rPr>
          <w:rFonts w:ascii="Times New Roman" w:hAnsi="Times New Roman" w:cs="Times New Roman"/>
        </w:rPr>
        <w:t>Jablonec nad Nisou v meziročním relativním vývoji počtu obyvatel</w:t>
      </w:r>
      <w:r w:rsidRPr="009201EF">
        <w:rPr>
          <w:rFonts w:ascii="Times New Roman" w:hAnsi="Times New Roman" w:cs="Times New Roman"/>
        </w:rPr>
        <w:t>. Z grafu je patrné, že</w:t>
      </w:r>
      <w:r>
        <w:rPr>
          <w:rFonts w:ascii="Times New Roman" w:hAnsi="Times New Roman" w:cs="Times New Roman"/>
        </w:rPr>
        <w:t xml:space="preserve"> meziroční</w:t>
      </w:r>
      <w:r w:rsidRPr="009201EF">
        <w:rPr>
          <w:rFonts w:ascii="Times New Roman" w:hAnsi="Times New Roman" w:cs="Times New Roman"/>
        </w:rPr>
        <w:t xml:space="preserve"> </w:t>
      </w:r>
      <w:r>
        <w:rPr>
          <w:rFonts w:ascii="Times New Roman" w:hAnsi="Times New Roman" w:cs="Times New Roman"/>
        </w:rPr>
        <w:t xml:space="preserve">vývoj počtu obyvatel je negativní ve srovnání s širším území </w:t>
      </w:r>
      <w:r w:rsidRPr="009201EF">
        <w:rPr>
          <w:rFonts w:ascii="Times New Roman" w:hAnsi="Times New Roman" w:cs="Times New Roman"/>
        </w:rPr>
        <w:t xml:space="preserve">SO ORP </w:t>
      </w:r>
      <w:r>
        <w:rPr>
          <w:rFonts w:ascii="Times New Roman" w:hAnsi="Times New Roman" w:cs="Times New Roman"/>
        </w:rPr>
        <w:t>Jablonec nad Nisou.</w:t>
      </w:r>
    </w:p>
    <w:p w:rsidR="00737C44" w:rsidRPr="004A45BA" w:rsidRDefault="00737C44" w:rsidP="00737C44">
      <w:pPr>
        <w:jc w:val="both"/>
        <w:rPr>
          <w:rFonts w:ascii="Times New Roman" w:hAnsi="Times New Roman" w:cs="Times New Roman"/>
        </w:rPr>
      </w:pPr>
      <w:r>
        <w:rPr>
          <w:rFonts w:ascii="Times New Roman" w:hAnsi="Times New Roman" w:cs="Times New Roman"/>
        </w:rPr>
        <w:t>Zaznamenaný výkyv v roce 2011 (pokles) je primárně způsobem úpravou dat z výsledků SLDB 2O11.</w:t>
      </w:r>
    </w:p>
    <w:p w:rsidR="00737C44" w:rsidRDefault="00737C44" w:rsidP="00737C44">
      <w:pPr>
        <w:spacing w:after="0" w:line="240" w:lineRule="auto"/>
        <w:rPr>
          <w:rFonts w:ascii="Times New Roman" w:hAnsi="Times New Roman" w:cs="Times New Roman"/>
          <w:sz w:val="18"/>
        </w:rPr>
      </w:pPr>
    </w:p>
    <w:p w:rsidR="00737C44" w:rsidRPr="009201EF" w:rsidRDefault="00737C44" w:rsidP="00737C44">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Srovnání meziročního</w:t>
      </w:r>
      <w:r>
        <w:rPr>
          <w:rFonts w:ascii="Times New Roman" w:hAnsi="Times New Roman" w:cs="Times New Roman"/>
          <w:sz w:val="18"/>
        </w:rPr>
        <w:t xml:space="preserve"> vývoje počtu obyvatel v %, 2008 - 2017</w:t>
      </w:r>
    </w:p>
    <w:p w:rsidR="00737C44" w:rsidRPr="009201EF" w:rsidRDefault="00737C44" w:rsidP="00737C44">
      <w:pPr>
        <w:spacing w:after="0" w:line="240" w:lineRule="auto"/>
        <w:rPr>
          <w:rFonts w:ascii="Times New Roman" w:hAnsi="Times New Roman" w:cs="Times New Roman"/>
        </w:rPr>
      </w:pPr>
      <w:r>
        <w:rPr>
          <w:noProof/>
        </w:rPr>
        <w:drawing>
          <wp:inline distT="0" distB="0" distL="0" distR="0" wp14:anchorId="03F41EEA" wp14:editId="4752ACA8">
            <wp:extent cx="5753100" cy="2981325"/>
            <wp:effectExtent l="76200" t="57150" r="76200" b="857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7C44" w:rsidRPr="009201EF" w:rsidRDefault="00737C44" w:rsidP="00737C44">
      <w:pPr>
        <w:rPr>
          <w:rFonts w:ascii="Times New Roman" w:hAnsi="Times New Roman" w:cs="Times New Roman"/>
          <w:sz w:val="18"/>
        </w:rPr>
      </w:pPr>
      <w:r w:rsidRPr="009201EF">
        <w:rPr>
          <w:rFonts w:ascii="Times New Roman" w:hAnsi="Times New Roman" w:cs="Times New Roman"/>
          <w:sz w:val="18"/>
        </w:rPr>
        <w:t>Zdroj: ČSÚ, vlastní zpracování</w:t>
      </w:r>
    </w:p>
    <w:p w:rsidR="00737C44" w:rsidRPr="009201EF" w:rsidRDefault="00737C44" w:rsidP="00737C44">
      <w:pPr>
        <w:spacing w:after="0"/>
        <w:jc w:val="both"/>
        <w:rPr>
          <w:rFonts w:ascii="Times New Roman" w:hAnsi="Times New Roman" w:cs="Times New Roman"/>
        </w:rPr>
      </w:pPr>
      <w:r w:rsidRPr="009201EF">
        <w:rPr>
          <w:rFonts w:ascii="Times New Roman" w:hAnsi="Times New Roman" w:cs="Times New Roman"/>
        </w:rPr>
        <w:t>V</w:t>
      </w:r>
      <w:r>
        <w:rPr>
          <w:rFonts w:ascii="Times New Roman" w:hAnsi="Times New Roman" w:cs="Times New Roman"/>
        </w:rPr>
        <w:t> grafu je zachycen vývoj</w:t>
      </w:r>
      <w:r w:rsidRPr="009201EF">
        <w:rPr>
          <w:rFonts w:ascii="Times New Roman" w:hAnsi="Times New Roman" w:cs="Times New Roman"/>
        </w:rPr>
        <w:t xml:space="preserve"> celkového počtu obyvatel</w:t>
      </w:r>
      <w:r>
        <w:rPr>
          <w:rFonts w:ascii="Times New Roman" w:hAnsi="Times New Roman" w:cs="Times New Roman"/>
        </w:rPr>
        <w:t>, který je počítán k výchozímu roku 2008.  Výchozí</w:t>
      </w:r>
      <w:r w:rsidRPr="009201EF">
        <w:rPr>
          <w:rFonts w:ascii="Times New Roman" w:hAnsi="Times New Roman" w:cs="Times New Roman"/>
        </w:rPr>
        <w:t xml:space="preserve"> rok</w:t>
      </w:r>
      <w:r>
        <w:rPr>
          <w:rFonts w:ascii="Times New Roman" w:hAnsi="Times New Roman" w:cs="Times New Roman"/>
        </w:rPr>
        <w:t xml:space="preserve"> je</w:t>
      </w:r>
      <w:r w:rsidRPr="009201EF">
        <w:rPr>
          <w:rFonts w:ascii="Times New Roman" w:hAnsi="Times New Roman" w:cs="Times New Roman"/>
        </w:rPr>
        <w:t xml:space="preserve"> znázorněn hodnotou 100% a v absolu</w:t>
      </w:r>
      <w:r>
        <w:rPr>
          <w:rFonts w:ascii="Times New Roman" w:hAnsi="Times New Roman" w:cs="Times New Roman"/>
        </w:rPr>
        <w:t xml:space="preserve">tním vyjádření odpovídá hodnotě 981 </w:t>
      </w:r>
      <w:r w:rsidRPr="009201EF">
        <w:rPr>
          <w:rFonts w:ascii="Times New Roman" w:hAnsi="Times New Roman" w:cs="Times New Roman"/>
        </w:rPr>
        <w:t xml:space="preserve">obyvatel. </w:t>
      </w:r>
    </w:p>
    <w:p w:rsidR="00737C44" w:rsidRPr="009201EF" w:rsidRDefault="00737C44" w:rsidP="00737C44">
      <w:pPr>
        <w:spacing w:after="0"/>
        <w:jc w:val="both"/>
        <w:rPr>
          <w:rFonts w:ascii="Times New Roman" w:hAnsi="Times New Roman" w:cs="Times New Roman"/>
        </w:rPr>
      </w:pPr>
      <w:r w:rsidRPr="009201EF">
        <w:rPr>
          <w:rFonts w:ascii="Times New Roman" w:hAnsi="Times New Roman" w:cs="Times New Roman"/>
        </w:rPr>
        <w:t xml:space="preserve">   </w:t>
      </w:r>
    </w:p>
    <w:p w:rsidR="00737C44" w:rsidRPr="005A4C88" w:rsidRDefault="00737C44" w:rsidP="00737C44">
      <w:pPr>
        <w:jc w:val="both"/>
        <w:rPr>
          <w:rFonts w:ascii="Times New Roman" w:hAnsi="Times New Roman" w:cs="Times New Roman"/>
        </w:rPr>
      </w:pPr>
      <w:r w:rsidRPr="009201EF">
        <w:rPr>
          <w:rFonts w:ascii="Times New Roman" w:hAnsi="Times New Roman" w:cs="Times New Roman"/>
        </w:rPr>
        <w:t>Celkový vývoj obyvatelstva ovlivňují dvě základní složky tohoto ukazatele. První se týká mechanického pohybu obyvatel (vystěhovalí, přistěhovalí) a druhá přirozené měn</w:t>
      </w:r>
      <w:r>
        <w:rPr>
          <w:rFonts w:ascii="Times New Roman" w:hAnsi="Times New Roman" w:cs="Times New Roman"/>
        </w:rPr>
        <w:t>y obyvatel (narození, zemřelí).</w:t>
      </w:r>
    </w:p>
    <w:p w:rsidR="00737C44" w:rsidRDefault="00737C44" w:rsidP="00737C44">
      <w:pPr>
        <w:spacing w:after="0" w:line="240" w:lineRule="auto"/>
        <w:rPr>
          <w:rFonts w:ascii="Times New Roman" w:hAnsi="Times New Roman" w:cs="Times New Roman"/>
          <w:sz w:val="18"/>
        </w:rPr>
      </w:pPr>
    </w:p>
    <w:p w:rsidR="00737C44" w:rsidRPr="009201EF" w:rsidRDefault="00737C44" w:rsidP="00737C44">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a struktu</w:t>
      </w:r>
      <w:r>
        <w:rPr>
          <w:rFonts w:ascii="Times New Roman" w:hAnsi="Times New Roman" w:cs="Times New Roman"/>
          <w:sz w:val="18"/>
        </w:rPr>
        <w:t>ra celkového přírůstku obyvatel</w:t>
      </w:r>
      <w:r w:rsidRPr="009201EF">
        <w:rPr>
          <w:rFonts w:ascii="Times New Roman" w:hAnsi="Times New Roman" w:cs="Times New Roman"/>
          <w:sz w:val="18"/>
        </w:rPr>
        <w:t xml:space="preserve"> v absolutních hodnotách</w:t>
      </w:r>
      <w:r>
        <w:rPr>
          <w:rFonts w:ascii="Times New Roman" w:hAnsi="Times New Roman" w:cs="Times New Roman"/>
          <w:sz w:val="18"/>
        </w:rPr>
        <w:t>, 2008 - 2017</w:t>
      </w:r>
    </w:p>
    <w:p w:rsidR="00737C44" w:rsidRPr="009201EF" w:rsidRDefault="00737C44" w:rsidP="00737C44">
      <w:pPr>
        <w:spacing w:after="0" w:line="240" w:lineRule="auto"/>
        <w:rPr>
          <w:rFonts w:ascii="Times New Roman" w:hAnsi="Times New Roman" w:cs="Times New Roman"/>
        </w:rPr>
      </w:pPr>
      <w:r>
        <w:rPr>
          <w:noProof/>
        </w:rPr>
        <w:drawing>
          <wp:inline distT="0" distB="0" distL="0" distR="0" wp14:anchorId="49B684F8" wp14:editId="7A17F30F">
            <wp:extent cx="5762625" cy="2124075"/>
            <wp:effectExtent l="76200" t="57150" r="66675" b="857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C44" w:rsidRPr="00865187" w:rsidRDefault="00737C44" w:rsidP="00737C44">
      <w:pPr>
        <w:spacing w:line="240" w:lineRule="auto"/>
        <w:rPr>
          <w:rFonts w:ascii="Times New Roman" w:hAnsi="Times New Roman" w:cs="Times New Roman"/>
          <w:sz w:val="18"/>
        </w:rPr>
      </w:pPr>
      <w:r>
        <w:rPr>
          <w:rFonts w:ascii="Times New Roman" w:hAnsi="Times New Roman" w:cs="Times New Roman"/>
          <w:sz w:val="18"/>
        </w:rPr>
        <w:t>Zdroj: ČSÚ, vlastní zpracování</w:t>
      </w:r>
    </w:p>
    <w:p w:rsidR="00737C44" w:rsidRDefault="00737C44" w:rsidP="00737C44">
      <w:pPr>
        <w:jc w:val="both"/>
        <w:rPr>
          <w:rFonts w:ascii="Times New Roman" w:hAnsi="Times New Roman" w:cs="Times New Roman"/>
        </w:rPr>
      </w:pPr>
      <w:r>
        <w:rPr>
          <w:rFonts w:ascii="Times New Roman" w:hAnsi="Times New Roman" w:cs="Times New Roman"/>
        </w:rPr>
        <w:t xml:space="preserve">Dominantní složkou, která má vliv na vývoj celkového počtu obyvatel je přirozený přírůstek/úbytek. Přirozený přírůstek obyvatel je dlouhodobě pod nulovou linií a ve sledované dekádě je roční průměrná ztráta 6 obyvatel. Migrační přírůstek/úbytek vykazuje za sledované období pozitivní výsledek, který se pohybuje v průměru kolem nulové hranice. Nicméně dlouhodobě záporný migrační přírůstek ovlivňuje negativně celkový přírůstek obyvatel, který je pak v průměrné hodnotě s roční ztrátou 7 obyvatel.  </w:t>
      </w:r>
    </w:p>
    <w:p w:rsidR="00737C44" w:rsidRDefault="00737C44" w:rsidP="00737C44">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Přehled údajů za přirozený a mechanic</w:t>
      </w:r>
      <w:r>
        <w:rPr>
          <w:rFonts w:ascii="Times New Roman" w:hAnsi="Times New Roman" w:cs="Times New Roman"/>
          <w:sz w:val="18"/>
        </w:rPr>
        <w:t>ký pohyb obyvatel mezi roky 2008 – 2017</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1097"/>
        <w:gridCol w:w="1015"/>
        <w:gridCol w:w="1015"/>
        <w:gridCol w:w="1015"/>
        <w:gridCol w:w="1015"/>
        <w:gridCol w:w="1015"/>
        <w:gridCol w:w="1015"/>
        <w:gridCol w:w="1015"/>
        <w:gridCol w:w="1010"/>
      </w:tblGrid>
      <w:tr w:rsidR="00737C44" w:rsidRPr="009E5A40" w:rsidTr="00FE20C1">
        <w:trPr>
          <w:trHeight w:val="510"/>
        </w:trPr>
        <w:tc>
          <w:tcPr>
            <w:tcW w:w="595"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Rok</w:t>
            </w:r>
          </w:p>
        </w:tc>
        <w:tc>
          <w:tcPr>
            <w:tcW w:w="551"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Narození</w:t>
            </w:r>
          </w:p>
        </w:tc>
        <w:tc>
          <w:tcPr>
            <w:tcW w:w="551"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9E5A40" w:rsidRDefault="00737C44" w:rsidP="00FE20C1">
            <w:pPr>
              <w:spacing w:after="0" w:line="240" w:lineRule="auto"/>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Zemřelí</w:t>
            </w:r>
          </w:p>
        </w:tc>
        <w:tc>
          <w:tcPr>
            <w:tcW w:w="551" w:type="pct"/>
            <w:tcBorders>
              <w:top w:val="single" w:sz="4" w:space="0" w:color="auto"/>
              <w:left w:val="nil"/>
              <w:bottom w:val="single" w:sz="4" w:space="0" w:color="auto"/>
              <w:right w:val="single" w:sz="4" w:space="0" w:color="auto"/>
            </w:tcBorders>
            <w:shd w:val="clear" w:color="000000" w:fill="1F497D"/>
            <w:vAlign w:val="center"/>
            <w:hideMark/>
          </w:tcPr>
          <w:p w:rsidR="00737C44" w:rsidRPr="009E5A40" w:rsidRDefault="00737C44" w:rsidP="00FE20C1">
            <w:pPr>
              <w:spacing w:after="0" w:line="240" w:lineRule="auto"/>
              <w:rPr>
                <w:rFonts w:ascii="Times New Roman" w:eastAsia="Times New Roman" w:hAnsi="Times New Roman" w:cs="Times New Roman"/>
                <w:b/>
                <w:bCs/>
                <w:color w:val="FFFFFF"/>
                <w:sz w:val="20"/>
                <w:szCs w:val="20"/>
              </w:rPr>
            </w:pPr>
            <w:proofErr w:type="spellStart"/>
            <w:r w:rsidRPr="009E5A40">
              <w:rPr>
                <w:rFonts w:ascii="Times New Roman" w:eastAsia="Times New Roman" w:hAnsi="Times New Roman" w:cs="Times New Roman"/>
                <w:b/>
                <w:bCs/>
                <w:color w:val="FFFFFF"/>
                <w:sz w:val="20"/>
                <w:szCs w:val="20"/>
              </w:rPr>
              <w:t>Přistě</w:t>
            </w:r>
            <w:proofErr w:type="spellEnd"/>
            <w:r w:rsidRPr="009E5A40">
              <w:rPr>
                <w:rFonts w:ascii="Times New Roman" w:eastAsia="Times New Roman" w:hAnsi="Times New Roman" w:cs="Times New Roman"/>
                <w:b/>
                <w:bCs/>
                <w:color w:val="FFFFFF"/>
                <w:sz w:val="20"/>
                <w:szCs w:val="20"/>
              </w:rPr>
              <w:t>-</w:t>
            </w:r>
            <w:r w:rsidRPr="009E5A40">
              <w:rPr>
                <w:rFonts w:ascii="Times New Roman" w:eastAsia="Times New Roman" w:hAnsi="Times New Roman" w:cs="Times New Roman"/>
                <w:b/>
                <w:bCs/>
                <w:color w:val="FFFFFF"/>
                <w:sz w:val="20"/>
                <w:szCs w:val="20"/>
              </w:rPr>
              <w:br/>
            </w:r>
            <w:proofErr w:type="spellStart"/>
            <w:r w:rsidRPr="009E5A40">
              <w:rPr>
                <w:rFonts w:ascii="Times New Roman" w:eastAsia="Times New Roman" w:hAnsi="Times New Roman" w:cs="Times New Roman"/>
                <w:b/>
                <w:bCs/>
                <w:color w:val="FFFFFF"/>
                <w:sz w:val="20"/>
                <w:szCs w:val="20"/>
              </w:rPr>
              <w:t>hovalí</w:t>
            </w:r>
            <w:proofErr w:type="spellEnd"/>
          </w:p>
        </w:tc>
        <w:tc>
          <w:tcPr>
            <w:tcW w:w="551" w:type="pct"/>
            <w:tcBorders>
              <w:top w:val="single" w:sz="4" w:space="0" w:color="auto"/>
              <w:left w:val="nil"/>
              <w:bottom w:val="single" w:sz="4" w:space="0" w:color="auto"/>
              <w:right w:val="single" w:sz="4" w:space="0" w:color="auto"/>
            </w:tcBorders>
            <w:shd w:val="clear" w:color="000000" w:fill="1F497D"/>
            <w:vAlign w:val="center"/>
            <w:hideMark/>
          </w:tcPr>
          <w:p w:rsidR="00737C44" w:rsidRPr="009E5A40" w:rsidRDefault="00737C44" w:rsidP="00FE20C1">
            <w:pPr>
              <w:spacing w:after="0" w:line="240" w:lineRule="auto"/>
              <w:rPr>
                <w:rFonts w:ascii="Times New Roman" w:eastAsia="Times New Roman" w:hAnsi="Times New Roman" w:cs="Times New Roman"/>
                <w:b/>
                <w:bCs/>
                <w:color w:val="FFFFFF"/>
                <w:sz w:val="20"/>
                <w:szCs w:val="20"/>
              </w:rPr>
            </w:pPr>
            <w:proofErr w:type="spellStart"/>
            <w:r w:rsidRPr="009E5A40">
              <w:rPr>
                <w:rFonts w:ascii="Times New Roman" w:eastAsia="Times New Roman" w:hAnsi="Times New Roman" w:cs="Times New Roman"/>
                <w:b/>
                <w:bCs/>
                <w:color w:val="FFFFFF"/>
                <w:sz w:val="20"/>
                <w:szCs w:val="20"/>
              </w:rPr>
              <w:t>Vystě</w:t>
            </w:r>
            <w:proofErr w:type="spellEnd"/>
            <w:r w:rsidRPr="009E5A40">
              <w:rPr>
                <w:rFonts w:ascii="Times New Roman" w:eastAsia="Times New Roman" w:hAnsi="Times New Roman" w:cs="Times New Roman"/>
                <w:b/>
                <w:bCs/>
                <w:color w:val="FFFFFF"/>
                <w:sz w:val="20"/>
                <w:szCs w:val="20"/>
              </w:rPr>
              <w:t>-</w:t>
            </w:r>
            <w:r w:rsidRPr="009E5A40">
              <w:rPr>
                <w:rFonts w:ascii="Times New Roman" w:eastAsia="Times New Roman" w:hAnsi="Times New Roman" w:cs="Times New Roman"/>
                <w:b/>
                <w:bCs/>
                <w:color w:val="FFFFFF"/>
                <w:sz w:val="20"/>
                <w:szCs w:val="20"/>
              </w:rPr>
              <w:br/>
            </w:r>
            <w:proofErr w:type="spellStart"/>
            <w:r w:rsidRPr="009E5A40">
              <w:rPr>
                <w:rFonts w:ascii="Times New Roman" w:eastAsia="Times New Roman" w:hAnsi="Times New Roman" w:cs="Times New Roman"/>
                <w:b/>
                <w:bCs/>
                <w:color w:val="FFFFFF"/>
                <w:sz w:val="20"/>
                <w:szCs w:val="20"/>
              </w:rPr>
              <w:t>hovalí</w:t>
            </w:r>
            <w:proofErr w:type="spellEnd"/>
          </w:p>
        </w:tc>
        <w:tc>
          <w:tcPr>
            <w:tcW w:w="551" w:type="pct"/>
            <w:tcBorders>
              <w:top w:val="single" w:sz="4" w:space="0" w:color="auto"/>
              <w:left w:val="nil"/>
              <w:bottom w:val="single" w:sz="4" w:space="0" w:color="auto"/>
              <w:right w:val="single" w:sz="4" w:space="0" w:color="auto"/>
            </w:tcBorders>
            <w:shd w:val="clear" w:color="000000" w:fill="1F497D"/>
            <w:vAlign w:val="center"/>
            <w:hideMark/>
          </w:tcPr>
          <w:p w:rsidR="00737C44" w:rsidRPr="009E5A40" w:rsidRDefault="00737C44" w:rsidP="00FE20C1">
            <w:pPr>
              <w:spacing w:after="0" w:line="240" w:lineRule="auto"/>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Přírůstek přirozený</w:t>
            </w:r>
          </w:p>
        </w:tc>
        <w:tc>
          <w:tcPr>
            <w:tcW w:w="551" w:type="pct"/>
            <w:tcBorders>
              <w:top w:val="single" w:sz="4" w:space="0" w:color="auto"/>
              <w:left w:val="nil"/>
              <w:bottom w:val="single" w:sz="4" w:space="0" w:color="auto"/>
              <w:right w:val="single" w:sz="4" w:space="0" w:color="auto"/>
            </w:tcBorders>
            <w:shd w:val="clear" w:color="000000" w:fill="1F497D"/>
            <w:vAlign w:val="center"/>
            <w:hideMark/>
          </w:tcPr>
          <w:p w:rsidR="00737C44" w:rsidRPr="009E5A40" w:rsidRDefault="00737C44" w:rsidP="00FE20C1">
            <w:pPr>
              <w:spacing w:after="0" w:line="240" w:lineRule="auto"/>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Přírůstek migrační</w:t>
            </w:r>
          </w:p>
        </w:tc>
        <w:tc>
          <w:tcPr>
            <w:tcW w:w="551" w:type="pct"/>
            <w:tcBorders>
              <w:top w:val="single" w:sz="4" w:space="0" w:color="auto"/>
              <w:left w:val="nil"/>
              <w:bottom w:val="single" w:sz="4" w:space="0" w:color="auto"/>
              <w:right w:val="single" w:sz="4" w:space="0" w:color="auto"/>
            </w:tcBorders>
            <w:shd w:val="clear" w:color="000000" w:fill="1F497D"/>
            <w:vAlign w:val="center"/>
            <w:hideMark/>
          </w:tcPr>
          <w:p w:rsidR="00737C44" w:rsidRPr="009E5A40" w:rsidRDefault="00737C44" w:rsidP="00FE20C1">
            <w:pPr>
              <w:spacing w:after="0" w:line="240" w:lineRule="auto"/>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Přírůstek celkový</w:t>
            </w:r>
          </w:p>
        </w:tc>
        <w:tc>
          <w:tcPr>
            <w:tcW w:w="551" w:type="pct"/>
            <w:tcBorders>
              <w:top w:val="single" w:sz="4" w:space="0" w:color="auto"/>
              <w:left w:val="nil"/>
              <w:bottom w:val="single" w:sz="4" w:space="0" w:color="auto"/>
              <w:right w:val="single" w:sz="4" w:space="0" w:color="auto"/>
            </w:tcBorders>
            <w:shd w:val="clear" w:color="000000" w:fill="1F497D"/>
            <w:vAlign w:val="center"/>
            <w:hideMark/>
          </w:tcPr>
          <w:p w:rsidR="00737C44" w:rsidRPr="009E5A40" w:rsidRDefault="00737C44" w:rsidP="00FE20C1">
            <w:pPr>
              <w:spacing w:after="0" w:line="240" w:lineRule="auto"/>
              <w:rPr>
                <w:rFonts w:ascii="Times New Roman" w:eastAsia="Times New Roman" w:hAnsi="Times New Roman" w:cs="Times New Roman"/>
                <w:b/>
                <w:bCs/>
                <w:color w:val="FFFFFF"/>
                <w:sz w:val="20"/>
                <w:szCs w:val="20"/>
              </w:rPr>
            </w:pPr>
            <w:r w:rsidRPr="009E5A40">
              <w:rPr>
                <w:rFonts w:ascii="Times New Roman" w:eastAsia="Times New Roman" w:hAnsi="Times New Roman" w:cs="Times New Roman"/>
                <w:b/>
                <w:bCs/>
                <w:color w:val="FFFFFF"/>
                <w:sz w:val="20"/>
                <w:szCs w:val="20"/>
              </w:rPr>
              <w:t>Stav 31.12.</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2008</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15</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33</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19</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981</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2009</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25</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39</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-5</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-19</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962</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2010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6</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-11</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-18</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944</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2011</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6</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26</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-6</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6</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914</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2012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5</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31</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29</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907</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2013</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33</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-6</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901</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2014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887</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2015</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38</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11</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888</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2016</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-13</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-11</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877</w:t>
            </w:r>
          </w:p>
        </w:tc>
      </w:tr>
      <w:tr w:rsidR="00737C44" w:rsidRPr="009E5A40" w:rsidTr="00FE20C1">
        <w:trPr>
          <w:trHeight w:val="22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b/>
                <w:bCs/>
                <w:color w:val="000000"/>
                <w:sz w:val="20"/>
                <w:szCs w:val="20"/>
              </w:rPr>
            </w:pPr>
            <w:r w:rsidRPr="009E5A40">
              <w:rPr>
                <w:rFonts w:ascii="Times New Roman" w:eastAsia="Times New Roman" w:hAnsi="Times New Roman" w:cs="Times New Roman"/>
                <w:b/>
                <w:bCs/>
                <w:color w:val="000000"/>
                <w:sz w:val="20"/>
                <w:szCs w:val="20"/>
              </w:rPr>
              <w:t>2017</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10</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13</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36</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32</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-3</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4</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1</w:t>
            </w:r>
          </w:p>
        </w:tc>
        <w:tc>
          <w:tcPr>
            <w:tcW w:w="551" w:type="pct"/>
            <w:tcBorders>
              <w:top w:val="nil"/>
              <w:left w:val="nil"/>
              <w:bottom w:val="single" w:sz="4" w:space="0" w:color="auto"/>
              <w:right w:val="single" w:sz="4" w:space="0" w:color="auto"/>
            </w:tcBorders>
            <w:shd w:val="clear" w:color="auto" w:fill="auto"/>
            <w:noWrap/>
            <w:vAlign w:val="center"/>
            <w:hideMark/>
          </w:tcPr>
          <w:p w:rsidR="00737C44" w:rsidRPr="009E5A40" w:rsidRDefault="00737C44" w:rsidP="00FE20C1">
            <w:pPr>
              <w:spacing w:after="0" w:line="240" w:lineRule="auto"/>
              <w:jc w:val="center"/>
              <w:rPr>
                <w:rFonts w:ascii="Times New Roman" w:eastAsia="Times New Roman" w:hAnsi="Times New Roman" w:cs="Times New Roman"/>
                <w:color w:val="000000"/>
                <w:sz w:val="20"/>
                <w:szCs w:val="20"/>
              </w:rPr>
            </w:pPr>
            <w:r w:rsidRPr="009E5A40">
              <w:rPr>
                <w:rFonts w:ascii="Times New Roman" w:eastAsia="Times New Roman" w:hAnsi="Times New Roman" w:cs="Times New Roman"/>
                <w:color w:val="000000"/>
                <w:sz w:val="20"/>
                <w:szCs w:val="20"/>
              </w:rPr>
              <w:t>878</w:t>
            </w:r>
          </w:p>
        </w:tc>
      </w:tr>
    </w:tbl>
    <w:p w:rsidR="00737C44" w:rsidRPr="00451446" w:rsidRDefault="00737C44" w:rsidP="00737C44">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w:t>
      </w:r>
      <w:r>
        <w:rPr>
          <w:rFonts w:ascii="Times New Roman" w:hAnsi="Times New Roman" w:cs="Times New Roman"/>
          <w:sz w:val="18"/>
        </w:rPr>
        <w:t>í</w:t>
      </w:r>
    </w:p>
    <w:p w:rsidR="00737C44" w:rsidRDefault="00737C44" w:rsidP="00737C44">
      <w:pPr>
        <w:jc w:val="both"/>
        <w:rPr>
          <w:rFonts w:ascii="Times New Roman" w:hAnsi="Times New Roman" w:cs="Times New Roman"/>
        </w:rPr>
      </w:pPr>
    </w:p>
    <w:p w:rsidR="00737C44" w:rsidRDefault="00737C44" w:rsidP="00737C44">
      <w:pPr>
        <w:jc w:val="both"/>
        <w:rPr>
          <w:rFonts w:ascii="Times New Roman" w:hAnsi="Times New Roman" w:cs="Times New Roman"/>
        </w:rPr>
      </w:pPr>
      <w:r>
        <w:rPr>
          <w:rFonts w:ascii="Times New Roman" w:hAnsi="Times New Roman" w:cs="Times New Roman"/>
        </w:rPr>
        <w:t>Přirozený přírůstek je výsledkem procesu rození a vymírání obyvatel. Z vývoje narozených je zřejmé ustálení hodnot kolem průměrné hodnoty 7 - obyvatel/rok. Počet narozených dětí v letech 2016 a 2017 vykazuje nadprůměrné hodnoty a pozitivně ovlivní věkovou strukturu obyvatelstva. Obecně lze pak očekávat vývoj v souvislostech s trendy v oblasti reprodukčního chování obyvatel ČR. Hodnoty narozených dětí budou zaznamenávat mírný pokles s následnou hodnotovou stabilizací. To stejné již neplatí pro hodnoty zemřelých, u kterých lze očekávat negativní výkyvy zapříčiněné silnými demografickými vlnami poválečných ročníků, které budou mít přímý vliv na záporné hodnoty přirozeného přírůstku.</w:t>
      </w:r>
    </w:p>
    <w:p w:rsidR="00737C44" w:rsidRDefault="00737C44" w:rsidP="00737C44">
      <w:pPr>
        <w:jc w:val="both"/>
        <w:rPr>
          <w:rFonts w:ascii="Times New Roman" w:hAnsi="Times New Roman" w:cs="Times New Roman"/>
        </w:rPr>
      </w:pPr>
      <w:r>
        <w:rPr>
          <w:rFonts w:ascii="Times New Roman" w:hAnsi="Times New Roman" w:cs="Times New Roman"/>
        </w:rPr>
        <w:t xml:space="preserve">       </w:t>
      </w:r>
    </w:p>
    <w:p w:rsidR="00737C44" w:rsidRDefault="00737C44" w:rsidP="00737C44">
      <w:pPr>
        <w:jc w:val="both"/>
        <w:rPr>
          <w:rFonts w:ascii="Times New Roman" w:hAnsi="Times New Roman" w:cs="Times New Roman"/>
        </w:rPr>
      </w:pPr>
    </w:p>
    <w:p w:rsidR="00737C44" w:rsidRDefault="00737C44" w:rsidP="00737C44">
      <w:pPr>
        <w:jc w:val="both"/>
        <w:rPr>
          <w:rFonts w:ascii="Times New Roman" w:hAnsi="Times New Roman" w:cs="Times New Roman"/>
        </w:rPr>
      </w:pPr>
    </w:p>
    <w:p w:rsidR="00737C44" w:rsidRPr="00E60A4D" w:rsidRDefault="00737C44" w:rsidP="00737C44">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lastRenderedPageBreak/>
        <w:t>Věková struktura obyvatelstva</w:t>
      </w:r>
    </w:p>
    <w:p w:rsidR="00737C44" w:rsidRPr="009201EF" w:rsidRDefault="00737C44" w:rsidP="00737C44">
      <w:pPr>
        <w:spacing w:after="0"/>
        <w:jc w:val="both"/>
        <w:rPr>
          <w:rFonts w:ascii="Times New Roman" w:hAnsi="Times New Roman" w:cs="Times New Roman"/>
        </w:rPr>
      </w:pPr>
      <w:r>
        <w:rPr>
          <w:rFonts w:ascii="Times New Roman" w:hAnsi="Times New Roman" w:cs="Times New Roman"/>
        </w:rPr>
        <w:t>Věková struktura je sledována na základních</w:t>
      </w:r>
      <w:r w:rsidRPr="009201EF">
        <w:rPr>
          <w:rFonts w:ascii="Times New Roman" w:hAnsi="Times New Roman" w:cs="Times New Roman"/>
        </w:rPr>
        <w:t xml:space="preserve"> věkových skupin</w:t>
      </w:r>
      <w:r>
        <w:rPr>
          <w:rFonts w:ascii="Times New Roman" w:hAnsi="Times New Roman" w:cs="Times New Roman"/>
        </w:rPr>
        <w:t>ách</w:t>
      </w:r>
      <w:r w:rsidRPr="009201EF">
        <w:rPr>
          <w:rFonts w:ascii="Times New Roman" w:hAnsi="Times New Roman" w:cs="Times New Roman"/>
        </w:rPr>
        <w:t>, které jsou svým rozložením ekonomické povahy. Jedná se o složku tzv. předproduktivní 0 až 14 let, produktivní 15 až 64 let</w:t>
      </w:r>
      <w:r>
        <w:rPr>
          <w:rFonts w:ascii="Times New Roman" w:hAnsi="Times New Roman" w:cs="Times New Roman"/>
        </w:rPr>
        <w:t xml:space="preserve"> a poproduktivní 65 let a více. </w:t>
      </w:r>
      <w:r w:rsidRPr="009201EF">
        <w:rPr>
          <w:rFonts w:ascii="Times New Roman" w:hAnsi="Times New Roman" w:cs="Times New Roman"/>
        </w:rPr>
        <w:t>Pro</w:t>
      </w:r>
      <w:r>
        <w:rPr>
          <w:rFonts w:ascii="Times New Roman" w:hAnsi="Times New Roman" w:cs="Times New Roman"/>
        </w:rPr>
        <w:t xml:space="preserve"> sledování vývoje</w:t>
      </w:r>
      <w:r w:rsidRPr="009201EF">
        <w:rPr>
          <w:rFonts w:ascii="Times New Roman" w:hAnsi="Times New Roman" w:cs="Times New Roman"/>
        </w:rPr>
        <w:t xml:space="preserve"> </w:t>
      </w:r>
      <w:r>
        <w:rPr>
          <w:rFonts w:ascii="Times New Roman" w:hAnsi="Times New Roman" w:cs="Times New Roman"/>
        </w:rPr>
        <w:t>jsou použity</w:t>
      </w:r>
      <w:r w:rsidRPr="009201EF">
        <w:rPr>
          <w:rFonts w:ascii="Times New Roman" w:hAnsi="Times New Roman" w:cs="Times New Roman"/>
        </w:rPr>
        <w:t xml:space="preserve"> milníky</w:t>
      </w:r>
      <w:r>
        <w:rPr>
          <w:rFonts w:ascii="Times New Roman" w:hAnsi="Times New Roman" w:cs="Times New Roman"/>
        </w:rPr>
        <w:t xml:space="preserve"> SLDB 2001, 2011 a aktuálně rok 2017</w:t>
      </w:r>
      <w:r w:rsidRPr="009201EF">
        <w:rPr>
          <w:rFonts w:ascii="Times New Roman" w:hAnsi="Times New Roman" w:cs="Times New Roman"/>
        </w:rPr>
        <w:t xml:space="preserve">. </w:t>
      </w:r>
    </w:p>
    <w:p w:rsidR="00737C44" w:rsidRPr="009201EF" w:rsidRDefault="00737C44" w:rsidP="00737C44">
      <w:pPr>
        <w:spacing w:after="0" w:line="240" w:lineRule="auto"/>
        <w:jc w:val="both"/>
        <w:rPr>
          <w:rFonts w:ascii="Times New Roman" w:hAnsi="Times New Roman" w:cs="Times New Roman"/>
        </w:rPr>
      </w:pPr>
    </w:p>
    <w:p w:rsidR="00737C44" w:rsidRPr="009201EF" w:rsidRDefault="00737C44" w:rsidP="00737C44">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Územn</w:t>
      </w:r>
      <w:r>
        <w:rPr>
          <w:rFonts w:ascii="Times New Roman" w:hAnsi="Times New Roman" w:cs="Times New Roman"/>
          <w:sz w:val="18"/>
        </w:rPr>
        <w:t>í srovnání vývoje dle produktivních</w:t>
      </w:r>
      <w:r w:rsidRPr="009201EF">
        <w:rPr>
          <w:rFonts w:ascii="Times New Roman" w:hAnsi="Times New Roman" w:cs="Times New Roman"/>
          <w:sz w:val="18"/>
        </w:rPr>
        <w:t xml:space="preserve"> věkových </w:t>
      </w:r>
      <w:r>
        <w:rPr>
          <w:rFonts w:ascii="Times New Roman" w:hAnsi="Times New Roman" w:cs="Times New Roman"/>
          <w:sz w:val="18"/>
        </w:rPr>
        <w:t>skupin a pohlaví v letech 2001, 2011, 2017</w:t>
      </w:r>
    </w:p>
    <w:tbl>
      <w:tblPr>
        <w:tblW w:w="5000" w:type="pct"/>
        <w:tblCellMar>
          <w:left w:w="70" w:type="dxa"/>
          <w:right w:w="70" w:type="dxa"/>
        </w:tblCellMar>
        <w:tblLook w:val="04A0" w:firstRow="1" w:lastRow="0" w:firstColumn="1" w:lastColumn="0" w:noHBand="0" w:noVBand="1"/>
      </w:tblPr>
      <w:tblGrid>
        <w:gridCol w:w="2980"/>
        <w:gridCol w:w="689"/>
        <w:gridCol w:w="853"/>
        <w:gridCol w:w="521"/>
        <w:gridCol w:w="690"/>
        <w:gridCol w:w="854"/>
        <w:gridCol w:w="521"/>
        <w:gridCol w:w="703"/>
        <w:gridCol w:w="869"/>
        <w:gridCol w:w="532"/>
      </w:tblGrid>
      <w:tr w:rsidR="00737C44" w:rsidRPr="005A5DCB" w:rsidTr="00FE20C1">
        <w:trPr>
          <w:trHeight w:val="255"/>
        </w:trPr>
        <w:tc>
          <w:tcPr>
            <w:tcW w:w="1018"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Rok</w:t>
            </w:r>
          </w:p>
        </w:tc>
        <w:tc>
          <w:tcPr>
            <w:tcW w:w="1320"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2001</w:t>
            </w:r>
          </w:p>
        </w:tc>
        <w:tc>
          <w:tcPr>
            <w:tcW w:w="1320"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2011</w:t>
            </w:r>
          </w:p>
        </w:tc>
        <w:tc>
          <w:tcPr>
            <w:tcW w:w="1341"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2017</w:t>
            </w:r>
          </w:p>
        </w:tc>
      </w:tr>
      <w:tr w:rsidR="00737C44" w:rsidRPr="005A5DCB" w:rsidTr="00FE20C1">
        <w:trPr>
          <w:trHeight w:val="255"/>
        </w:trPr>
        <w:tc>
          <w:tcPr>
            <w:tcW w:w="1018" w:type="pct"/>
            <w:vMerge/>
            <w:tcBorders>
              <w:top w:val="single" w:sz="4" w:space="0" w:color="auto"/>
              <w:left w:val="single" w:sz="4" w:space="0" w:color="auto"/>
              <w:bottom w:val="single" w:sz="4" w:space="0" w:color="auto"/>
              <w:right w:val="single" w:sz="4" w:space="0" w:color="auto"/>
            </w:tcBorders>
            <w:vAlign w:val="center"/>
            <w:hideMark/>
          </w:tcPr>
          <w:p w:rsidR="00737C44" w:rsidRPr="005A5DCB" w:rsidRDefault="00737C44" w:rsidP="00FE20C1">
            <w:pPr>
              <w:spacing w:after="0" w:line="240" w:lineRule="auto"/>
              <w:rPr>
                <w:rFonts w:ascii="Times New Roman" w:eastAsia="Times New Roman" w:hAnsi="Times New Roman" w:cs="Times New Roman"/>
                <w:b/>
                <w:bCs/>
                <w:color w:val="FFFFFF"/>
                <w:sz w:val="20"/>
                <w:szCs w:val="20"/>
              </w:rPr>
            </w:pPr>
          </w:p>
        </w:tc>
        <w:tc>
          <w:tcPr>
            <w:tcW w:w="441"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0 - 14</w:t>
            </w:r>
          </w:p>
        </w:tc>
        <w:tc>
          <w:tcPr>
            <w:tcW w:w="530"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15 - 64</w:t>
            </w:r>
          </w:p>
        </w:tc>
        <w:tc>
          <w:tcPr>
            <w:tcW w:w="349"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65 +</w:t>
            </w:r>
          </w:p>
        </w:tc>
        <w:tc>
          <w:tcPr>
            <w:tcW w:w="441"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0 - 14</w:t>
            </w:r>
          </w:p>
        </w:tc>
        <w:tc>
          <w:tcPr>
            <w:tcW w:w="530"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15 - 64</w:t>
            </w:r>
          </w:p>
        </w:tc>
        <w:tc>
          <w:tcPr>
            <w:tcW w:w="349"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65 +</w:t>
            </w:r>
          </w:p>
        </w:tc>
        <w:tc>
          <w:tcPr>
            <w:tcW w:w="448"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0 - 14</w:t>
            </w:r>
          </w:p>
        </w:tc>
        <w:tc>
          <w:tcPr>
            <w:tcW w:w="538"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15 - 64</w:t>
            </w:r>
          </w:p>
        </w:tc>
        <w:tc>
          <w:tcPr>
            <w:tcW w:w="355"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65 +</w:t>
            </w:r>
          </w:p>
        </w:tc>
      </w:tr>
      <w:tr w:rsidR="00737C44" w:rsidRPr="005A5DCB" w:rsidTr="00FE20C1">
        <w:trPr>
          <w:trHeight w:val="255"/>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Josefův Důl</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138</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693</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143</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111</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614</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189</w:t>
            </w:r>
          </w:p>
        </w:tc>
        <w:tc>
          <w:tcPr>
            <w:tcW w:w="44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122</w:t>
            </w:r>
          </w:p>
        </w:tc>
        <w:tc>
          <w:tcPr>
            <w:tcW w:w="53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523</w:t>
            </w:r>
          </w:p>
        </w:tc>
        <w:tc>
          <w:tcPr>
            <w:tcW w:w="355"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233</w:t>
            </w:r>
          </w:p>
        </w:tc>
      </w:tr>
      <w:tr w:rsidR="00737C44" w:rsidRPr="005A5DCB" w:rsidTr="00FE20C1">
        <w:trPr>
          <w:trHeight w:val="255"/>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Muži</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65</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373</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56</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63</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344</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81</w:t>
            </w:r>
          </w:p>
        </w:tc>
        <w:tc>
          <w:tcPr>
            <w:tcW w:w="44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67</w:t>
            </w:r>
          </w:p>
        </w:tc>
        <w:tc>
          <w:tcPr>
            <w:tcW w:w="53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283</w:t>
            </w:r>
          </w:p>
        </w:tc>
        <w:tc>
          <w:tcPr>
            <w:tcW w:w="355"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113</w:t>
            </w:r>
          </w:p>
        </w:tc>
      </w:tr>
      <w:tr w:rsidR="00737C44" w:rsidRPr="005A5DCB" w:rsidTr="00FE20C1">
        <w:trPr>
          <w:trHeight w:val="255"/>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Ženy</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73</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320</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87</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48</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270</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108</w:t>
            </w:r>
          </w:p>
        </w:tc>
        <w:tc>
          <w:tcPr>
            <w:tcW w:w="44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55</w:t>
            </w:r>
          </w:p>
        </w:tc>
        <w:tc>
          <w:tcPr>
            <w:tcW w:w="53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240</w:t>
            </w:r>
          </w:p>
        </w:tc>
        <w:tc>
          <w:tcPr>
            <w:tcW w:w="355"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120</w:t>
            </w:r>
          </w:p>
        </w:tc>
      </w:tr>
      <w:tr w:rsidR="00737C44" w:rsidRPr="005A5DCB" w:rsidTr="00FE20C1">
        <w:trPr>
          <w:trHeight w:val="255"/>
        </w:trPr>
        <w:tc>
          <w:tcPr>
            <w:tcW w:w="1018" w:type="pct"/>
            <w:tcBorders>
              <w:top w:val="nil"/>
              <w:left w:val="single" w:sz="4" w:space="0" w:color="auto"/>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Územní srovnání</w:t>
            </w:r>
          </w:p>
        </w:tc>
        <w:tc>
          <w:tcPr>
            <w:tcW w:w="441"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0 - 14</w:t>
            </w:r>
          </w:p>
        </w:tc>
        <w:tc>
          <w:tcPr>
            <w:tcW w:w="530"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15 - 64</w:t>
            </w:r>
          </w:p>
        </w:tc>
        <w:tc>
          <w:tcPr>
            <w:tcW w:w="349"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65 +</w:t>
            </w:r>
          </w:p>
        </w:tc>
        <w:tc>
          <w:tcPr>
            <w:tcW w:w="441"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0 - 14</w:t>
            </w:r>
          </w:p>
        </w:tc>
        <w:tc>
          <w:tcPr>
            <w:tcW w:w="530"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15 - 64</w:t>
            </w:r>
          </w:p>
        </w:tc>
        <w:tc>
          <w:tcPr>
            <w:tcW w:w="349"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65 +</w:t>
            </w:r>
          </w:p>
        </w:tc>
        <w:tc>
          <w:tcPr>
            <w:tcW w:w="448"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0 - 14</w:t>
            </w:r>
          </w:p>
        </w:tc>
        <w:tc>
          <w:tcPr>
            <w:tcW w:w="538"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15 - 64</w:t>
            </w:r>
          </w:p>
        </w:tc>
        <w:tc>
          <w:tcPr>
            <w:tcW w:w="355" w:type="pct"/>
            <w:tcBorders>
              <w:top w:val="nil"/>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65 +</w:t>
            </w:r>
          </w:p>
        </w:tc>
      </w:tr>
      <w:tr w:rsidR="00737C44" w:rsidRPr="005A5DCB" w:rsidTr="00FE20C1">
        <w:trPr>
          <w:trHeight w:val="255"/>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Josefův Důl (%)</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14,2</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71,1</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14,7</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12,1</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67,2</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20,7</w:t>
            </w:r>
          </w:p>
        </w:tc>
        <w:tc>
          <w:tcPr>
            <w:tcW w:w="44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13,9</w:t>
            </w:r>
          </w:p>
        </w:tc>
        <w:tc>
          <w:tcPr>
            <w:tcW w:w="53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59,6</w:t>
            </w:r>
          </w:p>
        </w:tc>
        <w:tc>
          <w:tcPr>
            <w:tcW w:w="355"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26,5</w:t>
            </w:r>
          </w:p>
        </w:tc>
      </w:tr>
      <w:tr w:rsidR="00737C44" w:rsidRPr="005A5DCB" w:rsidTr="00FE20C1">
        <w:trPr>
          <w:trHeight w:val="255"/>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SO ORP Jablonec nad Nisou (%)</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16,0</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71,3</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12,7</w:t>
            </w:r>
          </w:p>
        </w:tc>
        <w:tc>
          <w:tcPr>
            <w:tcW w:w="44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15,1</w:t>
            </w:r>
          </w:p>
        </w:tc>
        <w:tc>
          <w:tcPr>
            <w:tcW w:w="530"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69,1</w:t>
            </w:r>
          </w:p>
        </w:tc>
        <w:tc>
          <w:tcPr>
            <w:tcW w:w="349"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15,7</w:t>
            </w:r>
          </w:p>
        </w:tc>
        <w:tc>
          <w:tcPr>
            <w:tcW w:w="44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16,6</w:t>
            </w:r>
          </w:p>
        </w:tc>
        <w:tc>
          <w:tcPr>
            <w:tcW w:w="53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63,8</w:t>
            </w:r>
          </w:p>
        </w:tc>
        <w:tc>
          <w:tcPr>
            <w:tcW w:w="355"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19,6</w:t>
            </w:r>
          </w:p>
        </w:tc>
      </w:tr>
    </w:tbl>
    <w:p w:rsidR="00737C44" w:rsidRPr="009201EF" w:rsidRDefault="00737C44" w:rsidP="00737C44">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droj: ČSÚ, vlastní zpracování</w:t>
      </w:r>
    </w:p>
    <w:p w:rsidR="00737C44" w:rsidRDefault="00737C44" w:rsidP="00737C44">
      <w:pPr>
        <w:spacing w:after="0" w:line="240" w:lineRule="auto"/>
        <w:jc w:val="both"/>
        <w:rPr>
          <w:rFonts w:ascii="Times New Roman" w:hAnsi="Times New Roman" w:cs="Times New Roman"/>
        </w:rPr>
      </w:pPr>
    </w:p>
    <w:p w:rsidR="00737C44" w:rsidRDefault="00737C44" w:rsidP="00737C44">
      <w:pPr>
        <w:spacing w:after="0"/>
        <w:jc w:val="both"/>
        <w:rPr>
          <w:rFonts w:ascii="Times New Roman" w:hAnsi="Times New Roman" w:cs="Times New Roman"/>
        </w:rPr>
      </w:pPr>
      <w:r w:rsidRPr="009201EF">
        <w:rPr>
          <w:rFonts w:ascii="Times New Roman" w:hAnsi="Times New Roman" w:cs="Times New Roman"/>
        </w:rPr>
        <w:t>Ze srovnání</w:t>
      </w:r>
      <w:r>
        <w:rPr>
          <w:rFonts w:ascii="Times New Roman" w:hAnsi="Times New Roman" w:cs="Times New Roman"/>
        </w:rPr>
        <w:t xml:space="preserve"> území</w:t>
      </w:r>
      <w:r w:rsidRPr="009201EF">
        <w:rPr>
          <w:rFonts w:ascii="Times New Roman" w:hAnsi="Times New Roman" w:cs="Times New Roman"/>
        </w:rPr>
        <w:t xml:space="preserve"> je patrné, že </w:t>
      </w:r>
      <w:r>
        <w:rPr>
          <w:rFonts w:ascii="Times New Roman" w:hAnsi="Times New Roman" w:cs="Times New Roman"/>
        </w:rPr>
        <w:t>obec vykazuje negativní vývoj ve věkovém složení obyvatel, který není trendově srovnatelný s územím SO ORP Jablonec nad Nisou. Vývoj předproduktivní složky (0-14) v absolutním vyjádření klesl z hodnot roku 2001 – 138 dětí na 122 dětí v roce 2017 (pokles o 11%). Pokles skupiny do 14 let doprovází nárůst poproduktivního obyvatelstva tj. nad 65 let, který zaznamenal oproti roku 2001 nárůst ze 143 obyvatel na 233 (nárůst o 63%). Vývoj počtu produktivního obyvatelstva reprezentuje klesající trend, kdy přesun obyvatel skupiny 0-14 let nestačí dorovnávat přesuny silných poválečných ročníků do skupiny 65+.</w:t>
      </w:r>
    </w:p>
    <w:p w:rsidR="00737C44" w:rsidRDefault="00737C44" w:rsidP="00737C44">
      <w:pPr>
        <w:spacing w:after="0"/>
        <w:jc w:val="both"/>
        <w:rPr>
          <w:rFonts w:ascii="Times New Roman" w:hAnsi="Times New Roman" w:cs="Times New Roman"/>
        </w:rPr>
      </w:pPr>
    </w:p>
    <w:p w:rsidR="00737C44" w:rsidRPr="00F71502" w:rsidRDefault="00737C44" w:rsidP="00737C44">
      <w:pPr>
        <w:spacing w:after="0"/>
        <w:jc w:val="both"/>
        <w:rPr>
          <w:rFonts w:ascii="Times New Roman" w:hAnsi="Times New Roman" w:cs="Times New Roman"/>
        </w:rPr>
      </w:pPr>
      <w:r>
        <w:rPr>
          <w:rFonts w:ascii="Times New Roman" w:hAnsi="Times New Roman" w:cs="Times New Roman"/>
        </w:rPr>
        <w:t xml:space="preserve">Vývoj poměrové složení obyvatelstva v ekonomických věkových skupinách zobrazuje následující graf, ze kterého lze vyčíst přesuny obyvatel mezi skupinami, a to primárně ve prospěch postproduktivního obyvatelstva.   </w:t>
      </w:r>
    </w:p>
    <w:p w:rsidR="00737C44" w:rsidRDefault="00737C44" w:rsidP="00737C44">
      <w:pPr>
        <w:spacing w:after="0" w:line="240" w:lineRule="auto"/>
        <w:rPr>
          <w:rFonts w:ascii="Times New Roman" w:hAnsi="Times New Roman" w:cs="Times New Roman"/>
          <w:sz w:val="18"/>
        </w:rPr>
      </w:pPr>
    </w:p>
    <w:p w:rsidR="00737C44" w:rsidRDefault="00737C44" w:rsidP="00737C44">
      <w:pPr>
        <w:spacing w:after="0" w:line="240" w:lineRule="auto"/>
        <w:rPr>
          <w:rFonts w:ascii="Times New Roman" w:hAnsi="Times New Roman" w:cs="Times New Roman"/>
          <w:sz w:val="18"/>
        </w:rPr>
      </w:pPr>
    </w:p>
    <w:p w:rsidR="00737C44" w:rsidRPr="009201EF" w:rsidRDefault="00737C44" w:rsidP="00737C44">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zá</w:t>
      </w:r>
      <w:r>
        <w:rPr>
          <w:rFonts w:ascii="Times New Roman" w:hAnsi="Times New Roman" w:cs="Times New Roman"/>
          <w:sz w:val="18"/>
        </w:rPr>
        <w:t>kladních věkových skupin</w:t>
      </w:r>
      <w:r w:rsidRPr="009201EF">
        <w:rPr>
          <w:rFonts w:ascii="Times New Roman" w:hAnsi="Times New Roman" w:cs="Times New Roman"/>
          <w:sz w:val="18"/>
        </w:rPr>
        <w:t xml:space="preserve"> v letech 2001</w:t>
      </w:r>
      <w:r>
        <w:rPr>
          <w:rFonts w:ascii="Times New Roman" w:hAnsi="Times New Roman" w:cs="Times New Roman"/>
          <w:sz w:val="18"/>
        </w:rPr>
        <w:t>, 2011, 2017</w:t>
      </w:r>
      <w:r w:rsidRPr="009201EF">
        <w:rPr>
          <w:rFonts w:ascii="Times New Roman" w:hAnsi="Times New Roman" w:cs="Times New Roman"/>
          <w:sz w:val="18"/>
        </w:rPr>
        <w:t xml:space="preserve"> </w:t>
      </w:r>
    </w:p>
    <w:p w:rsidR="00737C44" w:rsidRPr="009201EF" w:rsidRDefault="00737C44" w:rsidP="00737C44">
      <w:pPr>
        <w:spacing w:after="0" w:line="240" w:lineRule="auto"/>
        <w:rPr>
          <w:rFonts w:ascii="Times New Roman" w:hAnsi="Times New Roman" w:cs="Times New Roman"/>
        </w:rPr>
      </w:pPr>
      <w:r>
        <w:rPr>
          <w:noProof/>
        </w:rPr>
        <w:drawing>
          <wp:inline distT="0" distB="0" distL="0" distR="0" wp14:anchorId="03D485E8" wp14:editId="0B21C7B6">
            <wp:extent cx="5762625" cy="2200275"/>
            <wp:effectExtent l="76200" t="57150" r="66675" b="8572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7C44" w:rsidRPr="00277491" w:rsidRDefault="00737C44" w:rsidP="00737C44">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737C44" w:rsidRDefault="00737C44" w:rsidP="00737C44">
      <w:pPr>
        <w:jc w:val="both"/>
        <w:rPr>
          <w:rFonts w:ascii="Times New Roman" w:hAnsi="Times New Roman" w:cs="Times New Roman"/>
        </w:rPr>
      </w:pPr>
      <w:r w:rsidRPr="009201EF">
        <w:rPr>
          <w:rFonts w:ascii="Times New Roman" w:hAnsi="Times New Roman" w:cs="Times New Roman"/>
        </w:rPr>
        <w:t>P</w:t>
      </w:r>
      <w:r>
        <w:rPr>
          <w:rFonts w:ascii="Times New Roman" w:hAnsi="Times New Roman" w:cs="Times New Roman"/>
        </w:rPr>
        <w:t>ro rozvojové účely</w:t>
      </w:r>
      <w:r w:rsidRPr="009201EF">
        <w:rPr>
          <w:rFonts w:ascii="Times New Roman" w:hAnsi="Times New Roman" w:cs="Times New Roman"/>
        </w:rPr>
        <w:t xml:space="preserve"> je nezbytné analyzovat detailněji věkové skupiny, a to vzhledem k možnosti předvídat potřeby obyvatelstva. </w:t>
      </w:r>
    </w:p>
    <w:p w:rsidR="00737C44" w:rsidRDefault="00737C44" w:rsidP="00737C44">
      <w:pPr>
        <w:spacing w:after="0" w:line="240" w:lineRule="auto"/>
        <w:rPr>
          <w:rFonts w:ascii="Times New Roman" w:hAnsi="Times New Roman" w:cs="Times New Roman"/>
          <w:sz w:val="18"/>
        </w:rPr>
      </w:pPr>
    </w:p>
    <w:p w:rsidR="00737C44" w:rsidRPr="009201EF" w:rsidRDefault="00737C44" w:rsidP="00737C44">
      <w:pPr>
        <w:spacing w:after="0" w:line="240" w:lineRule="auto"/>
        <w:rPr>
          <w:rFonts w:ascii="Times New Roman" w:hAnsi="Times New Roman" w:cs="Times New Roman"/>
          <w:sz w:val="18"/>
        </w:rPr>
      </w:pPr>
      <w:r>
        <w:rPr>
          <w:rFonts w:ascii="Times New Roman" w:hAnsi="Times New Roman" w:cs="Times New Roman"/>
          <w:sz w:val="18"/>
        </w:rPr>
        <w:lastRenderedPageBreak/>
        <w:t>Graf: Obyvatelé v pětiletých věkových skupinách celkem a dle pohlaví k 31. 12. 2017</w:t>
      </w:r>
    </w:p>
    <w:p w:rsidR="00737C44" w:rsidRPr="009201EF" w:rsidRDefault="00737C44" w:rsidP="00737C44">
      <w:pPr>
        <w:spacing w:after="0" w:line="240" w:lineRule="auto"/>
        <w:rPr>
          <w:rFonts w:ascii="Times New Roman" w:hAnsi="Times New Roman" w:cs="Times New Roman"/>
        </w:rPr>
      </w:pPr>
      <w:r>
        <w:rPr>
          <w:noProof/>
        </w:rPr>
        <w:drawing>
          <wp:inline distT="0" distB="0" distL="0" distR="0" wp14:anchorId="29F74DF6" wp14:editId="0F769CBA">
            <wp:extent cx="5762625" cy="4038600"/>
            <wp:effectExtent l="76200" t="57150" r="66675" b="952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C44" w:rsidRPr="009201EF" w:rsidRDefault="00737C44" w:rsidP="00737C44">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737C44" w:rsidRDefault="00737C44" w:rsidP="00737C44">
      <w:pPr>
        <w:jc w:val="both"/>
        <w:rPr>
          <w:rFonts w:ascii="Times New Roman" w:hAnsi="Times New Roman" w:cs="Times New Roman"/>
        </w:rPr>
      </w:pPr>
    </w:p>
    <w:p w:rsidR="00737C44" w:rsidRDefault="00737C44" w:rsidP="00737C44">
      <w:pPr>
        <w:jc w:val="both"/>
        <w:rPr>
          <w:rFonts w:ascii="Times New Roman" w:hAnsi="Times New Roman" w:cs="Times New Roman"/>
        </w:rPr>
      </w:pPr>
      <w:r>
        <w:rPr>
          <w:rFonts w:ascii="Times New Roman" w:hAnsi="Times New Roman" w:cs="Times New Roman"/>
        </w:rPr>
        <w:t xml:space="preserve">Obsazení jednotlivých věkových skupin odpovídá negativnímu vývoji vnitřní struktury obyvatel. Ze struktury obyvatelstva lze vyčíst dvě základní vývojové charakteristiky. Nejmladší věkové skupiny jsou stabilně obsazeny vyrovnaným počtem obyvatel, ale jejich celková obsazenost je cca na 2/3 starších generací. Výkyvy v obsazenosti věkových skupin ročníků sedmdesátých let a povalečných ročníků vykazují v rámci zastoupení věkových skupin výrazné skoky. Tyto demografické vlny mají silný vliv na rozsah zajištění potřeb této skupiny obyvatelstva v pozdějším věku (zdravotnictví, sociální služby, bydlení apod.). Již ze současné věkové struktury je patrné, že obyvatelé ve věkových skupinách nad 70 let jsou zastoupeny 151obyvateli (17%). V následujících letech bude tato skupina posílena mladšími ročníky a zároveň bude působit demografický jev prodlužování délky života v populaci obecně.    </w:t>
      </w:r>
    </w:p>
    <w:p w:rsidR="00737C44" w:rsidRDefault="00737C44" w:rsidP="00737C44">
      <w:pPr>
        <w:jc w:val="both"/>
        <w:rPr>
          <w:rFonts w:ascii="Times New Roman" w:hAnsi="Times New Roman" w:cs="Times New Roman"/>
        </w:rPr>
      </w:pPr>
    </w:p>
    <w:p w:rsidR="00737C44" w:rsidRDefault="00737C44" w:rsidP="00737C44">
      <w:pPr>
        <w:jc w:val="both"/>
        <w:rPr>
          <w:rFonts w:ascii="Times New Roman" w:hAnsi="Times New Roman" w:cs="Times New Roman"/>
        </w:rPr>
      </w:pPr>
    </w:p>
    <w:p w:rsidR="00737C44" w:rsidRDefault="00737C44" w:rsidP="00737C44">
      <w:pPr>
        <w:jc w:val="both"/>
        <w:rPr>
          <w:rFonts w:ascii="Times New Roman" w:hAnsi="Times New Roman" w:cs="Times New Roman"/>
        </w:rPr>
      </w:pPr>
    </w:p>
    <w:p w:rsidR="00737C44" w:rsidRDefault="00737C44" w:rsidP="00737C44">
      <w:pPr>
        <w:jc w:val="both"/>
        <w:rPr>
          <w:rFonts w:ascii="Times New Roman" w:hAnsi="Times New Roman" w:cs="Times New Roman"/>
        </w:rPr>
      </w:pPr>
    </w:p>
    <w:p w:rsidR="00737C44" w:rsidRDefault="00737C44" w:rsidP="00737C44">
      <w:pPr>
        <w:jc w:val="both"/>
        <w:rPr>
          <w:rFonts w:ascii="Times New Roman" w:hAnsi="Times New Roman" w:cs="Times New Roman"/>
        </w:rPr>
      </w:pPr>
    </w:p>
    <w:p w:rsidR="00737C44" w:rsidRPr="009201EF" w:rsidRDefault="00737C44" w:rsidP="00737C44">
      <w:pPr>
        <w:jc w:val="both"/>
        <w:rPr>
          <w:rFonts w:ascii="Times New Roman" w:hAnsi="Times New Roman" w:cs="Times New Roman"/>
        </w:rPr>
      </w:pPr>
    </w:p>
    <w:p w:rsidR="00737C44" w:rsidRPr="00E60A4D" w:rsidRDefault="00737C44" w:rsidP="00737C44">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lastRenderedPageBreak/>
        <w:t>Vzdělanostní struktura</w:t>
      </w:r>
    </w:p>
    <w:p w:rsidR="00737C44" w:rsidRPr="00DE3CDC" w:rsidRDefault="00737C44" w:rsidP="00737C44">
      <w:pPr>
        <w:jc w:val="both"/>
        <w:rPr>
          <w:rFonts w:ascii="Times New Roman" w:hAnsi="Times New Roman" w:cs="Times New Roman"/>
        </w:rPr>
      </w:pPr>
      <w:r>
        <w:rPr>
          <w:rFonts w:ascii="Times New Roman" w:hAnsi="Times New Roman" w:cs="Times New Roman"/>
        </w:rPr>
        <w:t>Do vzdělanostní struktury obyvatelstva jsou započítáni obyvatelé starší 15 let.</w:t>
      </w:r>
    </w:p>
    <w:p w:rsidR="00737C44" w:rsidRPr="009201EF" w:rsidRDefault="00737C44" w:rsidP="00737C44">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Struktura obyvatel podle nejvyššího dokončeného </w:t>
      </w:r>
      <w:r>
        <w:rPr>
          <w:rFonts w:ascii="Times New Roman" w:hAnsi="Times New Roman" w:cs="Times New Roman"/>
          <w:sz w:val="18"/>
        </w:rPr>
        <w:t>stupně vzdělání v % v roce 2011</w:t>
      </w:r>
    </w:p>
    <w:tbl>
      <w:tblPr>
        <w:tblW w:w="5000" w:type="pct"/>
        <w:tblCellMar>
          <w:left w:w="70" w:type="dxa"/>
          <w:right w:w="70" w:type="dxa"/>
        </w:tblCellMar>
        <w:tblLook w:val="04A0" w:firstRow="1" w:lastRow="0" w:firstColumn="1" w:lastColumn="0" w:noHBand="0" w:noVBand="1"/>
      </w:tblPr>
      <w:tblGrid>
        <w:gridCol w:w="2833"/>
        <w:gridCol w:w="1551"/>
        <w:gridCol w:w="1096"/>
        <w:gridCol w:w="1223"/>
        <w:gridCol w:w="1540"/>
        <w:gridCol w:w="969"/>
      </w:tblGrid>
      <w:tr w:rsidR="00737C44" w:rsidRPr="005A5DCB" w:rsidTr="00FE20C1">
        <w:trPr>
          <w:trHeight w:val="465"/>
        </w:trPr>
        <w:tc>
          <w:tcPr>
            <w:tcW w:w="1537"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území</w:t>
            </w:r>
          </w:p>
        </w:tc>
        <w:tc>
          <w:tcPr>
            <w:tcW w:w="842" w:type="pct"/>
            <w:tcBorders>
              <w:top w:val="single" w:sz="4" w:space="0" w:color="auto"/>
              <w:left w:val="nil"/>
              <w:bottom w:val="single" w:sz="4" w:space="0" w:color="auto"/>
              <w:right w:val="single" w:sz="4" w:space="0" w:color="auto"/>
            </w:tcBorders>
            <w:shd w:val="clear" w:color="000000" w:fill="1F497D"/>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základní vč. neukončeného</w:t>
            </w:r>
          </w:p>
        </w:tc>
        <w:tc>
          <w:tcPr>
            <w:tcW w:w="595" w:type="pct"/>
            <w:tcBorders>
              <w:top w:val="single" w:sz="4" w:space="0" w:color="auto"/>
              <w:left w:val="nil"/>
              <w:bottom w:val="single" w:sz="4" w:space="0" w:color="auto"/>
              <w:right w:val="single" w:sz="4" w:space="0" w:color="auto"/>
            </w:tcBorders>
            <w:shd w:val="clear" w:color="000000" w:fill="1F497D"/>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střední vč. vyučení (bez maturity)</w:t>
            </w:r>
          </w:p>
        </w:tc>
        <w:tc>
          <w:tcPr>
            <w:tcW w:w="664" w:type="pct"/>
            <w:tcBorders>
              <w:top w:val="single" w:sz="4" w:space="0" w:color="auto"/>
              <w:left w:val="nil"/>
              <w:bottom w:val="single" w:sz="4" w:space="0" w:color="auto"/>
              <w:right w:val="single" w:sz="4" w:space="0" w:color="auto"/>
            </w:tcBorders>
            <w:shd w:val="clear" w:color="000000" w:fill="1F497D"/>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úplné střední (s maturitou) a vyšší odborné</w:t>
            </w:r>
          </w:p>
        </w:tc>
        <w:tc>
          <w:tcPr>
            <w:tcW w:w="836"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vysokoškolské</w:t>
            </w:r>
          </w:p>
        </w:tc>
        <w:tc>
          <w:tcPr>
            <w:tcW w:w="527" w:type="pct"/>
            <w:tcBorders>
              <w:top w:val="single" w:sz="4" w:space="0" w:color="auto"/>
              <w:left w:val="nil"/>
              <w:bottom w:val="single" w:sz="4" w:space="0" w:color="auto"/>
              <w:right w:val="single" w:sz="4" w:space="0" w:color="auto"/>
            </w:tcBorders>
            <w:shd w:val="clear" w:color="000000" w:fill="1F497D"/>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bez vzdělání</w:t>
            </w:r>
          </w:p>
        </w:tc>
      </w:tr>
      <w:tr w:rsidR="00737C44" w:rsidRPr="005A5DCB" w:rsidTr="00FE20C1">
        <w:trPr>
          <w:trHeight w:val="227"/>
        </w:trPr>
        <w:tc>
          <w:tcPr>
            <w:tcW w:w="1537"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Josefův Důl</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27,4</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42,4</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23,2</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6,4</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0,7</w:t>
            </w:r>
          </w:p>
        </w:tc>
      </w:tr>
      <w:tr w:rsidR="00737C44" w:rsidRPr="005A5DCB" w:rsidTr="00FE20C1">
        <w:trPr>
          <w:trHeight w:val="227"/>
        </w:trPr>
        <w:tc>
          <w:tcPr>
            <w:tcW w:w="1537"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SO ORP Jablonec nad Nisou</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18,5</w:t>
            </w:r>
          </w:p>
        </w:tc>
        <w:tc>
          <w:tcPr>
            <w:tcW w:w="595"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35,3</w:t>
            </w:r>
          </w:p>
        </w:tc>
        <w:tc>
          <w:tcPr>
            <w:tcW w:w="664"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34,1</w:t>
            </w:r>
          </w:p>
        </w:tc>
        <w:tc>
          <w:tcPr>
            <w:tcW w:w="836"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11,5</w:t>
            </w:r>
          </w:p>
        </w:tc>
        <w:tc>
          <w:tcPr>
            <w:tcW w:w="527"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0,7</w:t>
            </w:r>
          </w:p>
        </w:tc>
      </w:tr>
    </w:tbl>
    <w:p w:rsidR="00737C44" w:rsidRPr="00C92C1C" w:rsidRDefault="00737C44" w:rsidP="00737C44">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 xml:space="preserve">droj: ČSÚ </w:t>
      </w:r>
      <w:r>
        <w:rPr>
          <w:rFonts w:ascii="Times New Roman" w:hAnsi="Times New Roman" w:cs="Times New Roman"/>
          <w:sz w:val="18"/>
        </w:rPr>
        <w:t>– SLDB 2011, vlastní zpracování</w:t>
      </w:r>
    </w:p>
    <w:p w:rsidR="00737C44" w:rsidRDefault="00737C44" w:rsidP="00737C44">
      <w:pPr>
        <w:jc w:val="both"/>
        <w:rPr>
          <w:rFonts w:ascii="Times New Roman" w:hAnsi="Times New Roman" w:cs="Times New Roman"/>
        </w:rPr>
      </w:pPr>
      <w:r>
        <w:rPr>
          <w:rFonts w:ascii="Times New Roman" w:hAnsi="Times New Roman" w:cs="Times New Roman"/>
        </w:rPr>
        <w:t>Obec dosahuje</w:t>
      </w:r>
      <w:r w:rsidRPr="009201EF">
        <w:rPr>
          <w:rFonts w:ascii="Times New Roman" w:hAnsi="Times New Roman" w:cs="Times New Roman"/>
        </w:rPr>
        <w:t xml:space="preserve"> ve srovnání s širším územím ve vzdělanostní stru</w:t>
      </w:r>
      <w:r>
        <w:rPr>
          <w:rFonts w:ascii="Times New Roman" w:hAnsi="Times New Roman" w:cs="Times New Roman"/>
        </w:rPr>
        <w:t>ktuře obyvatelstva významně horších</w:t>
      </w:r>
      <w:r w:rsidRPr="009201EF">
        <w:rPr>
          <w:rFonts w:ascii="Times New Roman" w:hAnsi="Times New Roman" w:cs="Times New Roman"/>
        </w:rPr>
        <w:t xml:space="preserve"> hodnot. Za problematické zde lze označit obyvatele, kteří dosahují jen základního vzdělání, a to v souvislostech s trhem práce a nízké flexibilitě při změnách vývoje na trhu práce. Nejvíce je zde zastoupena skupina obyvatel, která dokon</w:t>
      </w:r>
      <w:r>
        <w:rPr>
          <w:rFonts w:ascii="Times New Roman" w:hAnsi="Times New Roman" w:cs="Times New Roman"/>
        </w:rPr>
        <w:t>čila vzdělání střední bez maturity</w:t>
      </w:r>
      <w:r w:rsidRPr="009201EF">
        <w:rPr>
          <w:rFonts w:ascii="Times New Roman" w:hAnsi="Times New Roman" w:cs="Times New Roman"/>
        </w:rPr>
        <w:t>.</w:t>
      </w:r>
      <w:r>
        <w:rPr>
          <w:rFonts w:ascii="Times New Roman" w:hAnsi="Times New Roman" w:cs="Times New Roman"/>
        </w:rPr>
        <w:t xml:space="preserve"> Celých </w:t>
      </w:r>
      <w:proofErr w:type="gramStart"/>
      <w:r>
        <w:rPr>
          <w:rFonts w:ascii="Times New Roman" w:hAnsi="Times New Roman" w:cs="Times New Roman"/>
        </w:rPr>
        <w:t>70%</w:t>
      </w:r>
      <w:proofErr w:type="gramEnd"/>
      <w:r>
        <w:rPr>
          <w:rFonts w:ascii="Times New Roman" w:hAnsi="Times New Roman" w:cs="Times New Roman"/>
        </w:rPr>
        <w:t xml:space="preserve"> obyvatel pak dosahuje max. </w:t>
      </w:r>
      <w:r w:rsidRPr="009201EF">
        <w:rPr>
          <w:rFonts w:ascii="Times New Roman" w:hAnsi="Times New Roman" w:cs="Times New Roman"/>
        </w:rPr>
        <w:t>stř</w:t>
      </w:r>
      <w:r>
        <w:rPr>
          <w:rFonts w:ascii="Times New Roman" w:hAnsi="Times New Roman" w:cs="Times New Roman"/>
        </w:rPr>
        <w:t xml:space="preserve">edního vzdělání bez maturity. </w:t>
      </w:r>
    </w:p>
    <w:p w:rsidR="00737C44" w:rsidRPr="00052997" w:rsidRDefault="00737C44" w:rsidP="00737C44">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 xml:space="preserve">Struktura obyvatel podle nejvyššího dokončeného stupně </w:t>
      </w:r>
      <w:r>
        <w:rPr>
          <w:rFonts w:ascii="Times New Roman" w:hAnsi="Times New Roman" w:cs="Times New Roman"/>
          <w:sz w:val="18"/>
        </w:rPr>
        <w:t>vzdělání a pohlaví absolutně v roce 2011</w:t>
      </w:r>
    </w:p>
    <w:tbl>
      <w:tblPr>
        <w:tblW w:w="5000" w:type="pct"/>
        <w:tblCellMar>
          <w:left w:w="70" w:type="dxa"/>
          <w:right w:w="70" w:type="dxa"/>
        </w:tblCellMar>
        <w:tblLook w:val="04A0" w:firstRow="1" w:lastRow="0" w:firstColumn="1" w:lastColumn="0" w:noHBand="0" w:noVBand="1"/>
      </w:tblPr>
      <w:tblGrid>
        <w:gridCol w:w="1370"/>
        <w:gridCol w:w="1394"/>
        <w:gridCol w:w="1266"/>
        <w:gridCol w:w="1268"/>
        <w:gridCol w:w="1384"/>
        <w:gridCol w:w="1266"/>
        <w:gridCol w:w="1264"/>
      </w:tblGrid>
      <w:tr w:rsidR="00737C44" w:rsidRPr="005A5DCB" w:rsidTr="00FE20C1">
        <w:trPr>
          <w:trHeight w:val="1020"/>
        </w:trPr>
        <w:tc>
          <w:tcPr>
            <w:tcW w:w="744"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území</w:t>
            </w:r>
          </w:p>
        </w:tc>
        <w:tc>
          <w:tcPr>
            <w:tcW w:w="757" w:type="pct"/>
            <w:tcBorders>
              <w:top w:val="single" w:sz="4" w:space="0" w:color="auto"/>
              <w:left w:val="nil"/>
              <w:bottom w:val="single" w:sz="4" w:space="0" w:color="auto"/>
              <w:right w:val="single" w:sz="4" w:space="0" w:color="auto"/>
            </w:tcBorders>
            <w:shd w:val="clear" w:color="000000" w:fill="1F497D"/>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základní vč. neukončeného</w:t>
            </w:r>
          </w:p>
        </w:tc>
        <w:tc>
          <w:tcPr>
            <w:tcW w:w="687" w:type="pct"/>
            <w:tcBorders>
              <w:top w:val="single" w:sz="4" w:space="0" w:color="auto"/>
              <w:left w:val="nil"/>
              <w:bottom w:val="single" w:sz="4" w:space="0" w:color="auto"/>
              <w:right w:val="single" w:sz="4" w:space="0" w:color="auto"/>
            </w:tcBorders>
            <w:shd w:val="clear" w:color="000000" w:fill="1F497D"/>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střední vč. vyučení (bez maturity)</w:t>
            </w:r>
          </w:p>
        </w:tc>
        <w:tc>
          <w:tcPr>
            <w:tcW w:w="688" w:type="pct"/>
            <w:tcBorders>
              <w:top w:val="single" w:sz="4" w:space="0" w:color="auto"/>
              <w:left w:val="nil"/>
              <w:bottom w:val="single" w:sz="4" w:space="0" w:color="auto"/>
              <w:right w:val="single" w:sz="4" w:space="0" w:color="auto"/>
            </w:tcBorders>
            <w:shd w:val="clear" w:color="000000" w:fill="1F497D"/>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úplné střední (s maturitou) a vyšší odborné</w:t>
            </w:r>
          </w:p>
        </w:tc>
        <w:tc>
          <w:tcPr>
            <w:tcW w:w="751" w:type="pct"/>
            <w:tcBorders>
              <w:top w:val="single" w:sz="4" w:space="0" w:color="auto"/>
              <w:left w:val="nil"/>
              <w:bottom w:val="single" w:sz="4" w:space="0" w:color="auto"/>
              <w:right w:val="single" w:sz="4" w:space="0" w:color="auto"/>
            </w:tcBorders>
            <w:shd w:val="clear" w:color="000000" w:fill="1F497D"/>
            <w:noWrap/>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vysokoškolské</w:t>
            </w:r>
          </w:p>
        </w:tc>
        <w:tc>
          <w:tcPr>
            <w:tcW w:w="687" w:type="pct"/>
            <w:tcBorders>
              <w:top w:val="single" w:sz="4" w:space="0" w:color="auto"/>
              <w:left w:val="nil"/>
              <w:bottom w:val="single" w:sz="4" w:space="0" w:color="auto"/>
              <w:right w:val="single" w:sz="4" w:space="0" w:color="auto"/>
            </w:tcBorders>
            <w:shd w:val="clear" w:color="000000" w:fill="1F497D"/>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bez vzdělání</w:t>
            </w:r>
          </w:p>
        </w:tc>
        <w:tc>
          <w:tcPr>
            <w:tcW w:w="686" w:type="pct"/>
            <w:tcBorders>
              <w:top w:val="single" w:sz="4" w:space="0" w:color="auto"/>
              <w:left w:val="nil"/>
              <w:bottom w:val="single" w:sz="4" w:space="0" w:color="auto"/>
              <w:right w:val="single" w:sz="4" w:space="0" w:color="auto"/>
            </w:tcBorders>
            <w:shd w:val="clear" w:color="000000" w:fill="1F497D"/>
            <w:vAlign w:val="center"/>
            <w:hideMark/>
          </w:tcPr>
          <w:p w:rsidR="00737C44" w:rsidRPr="005A5DCB" w:rsidRDefault="00737C44" w:rsidP="00FE20C1">
            <w:pPr>
              <w:spacing w:after="0" w:line="240" w:lineRule="auto"/>
              <w:jc w:val="center"/>
              <w:rPr>
                <w:rFonts w:ascii="Times New Roman" w:eastAsia="Times New Roman" w:hAnsi="Times New Roman" w:cs="Times New Roman"/>
                <w:b/>
                <w:bCs/>
                <w:color w:val="FFFFFF"/>
                <w:sz w:val="20"/>
                <w:szCs w:val="20"/>
              </w:rPr>
            </w:pPr>
            <w:r w:rsidRPr="005A5DCB">
              <w:rPr>
                <w:rFonts w:ascii="Times New Roman" w:eastAsia="Times New Roman" w:hAnsi="Times New Roman" w:cs="Times New Roman"/>
                <w:b/>
                <w:bCs/>
                <w:color w:val="FFFFFF"/>
                <w:sz w:val="20"/>
                <w:szCs w:val="20"/>
              </w:rPr>
              <w:t>celkem</w:t>
            </w:r>
          </w:p>
        </w:tc>
      </w:tr>
      <w:tr w:rsidR="00737C44" w:rsidRPr="005A5DCB" w:rsidTr="00FE20C1">
        <w:trPr>
          <w:trHeight w:val="227"/>
        </w:trPr>
        <w:tc>
          <w:tcPr>
            <w:tcW w:w="744"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Josefův Důl</w:t>
            </w:r>
          </w:p>
        </w:tc>
        <w:tc>
          <w:tcPr>
            <w:tcW w:w="7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202</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313</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171</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47</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737C44" w:rsidRPr="005A5DCB" w:rsidRDefault="00737C44" w:rsidP="00FE20C1">
            <w:pPr>
              <w:spacing w:after="0" w:line="240" w:lineRule="auto"/>
              <w:jc w:val="center"/>
              <w:rPr>
                <w:rFonts w:ascii="Arial" w:eastAsia="Times New Roman" w:hAnsi="Arial" w:cs="Arial"/>
                <w:sz w:val="20"/>
                <w:szCs w:val="20"/>
              </w:rPr>
            </w:pPr>
            <w:r w:rsidRPr="005A5DCB">
              <w:rPr>
                <w:rFonts w:ascii="Arial" w:eastAsia="Times New Roman" w:hAnsi="Arial" w:cs="Arial"/>
                <w:sz w:val="20"/>
                <w:szCs w:val="20"/>
              </w:rPr>
              <w:t>5</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738</w:t>
            </w:r>
          </w:p>
        </w:tc>
      </w:tr>
      <w:tr w:rsidR="00737C44" w:rsidRPr="005A5DCB" w:rsidTr="00FE20C1">
        <w:trPr>
          <w:trHeight w:val="227"/>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Muži</w:t>
            </w:r>
          </w:p>
        </w:tc>
        <w:tc>
          <w:tcPr>
            <w:tcW w:w="757"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69</w:t>
            </w:r>
          </w:p>
        </w:tc>
        <w:tc>
          <w:tcPr>
            <w:tcW w:w="687"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202</w:t>
            </w:r>
          </w:p>
        </w:tc>
        <w:tc>
          <w:tcPr>
            <w:tcW w:w="68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77</w:t>
            </w:r>
          </w:p>
        </w:tc>
        <w:tc>
          <w:tcPr>
            <w:tcW w:w="75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28</w:t>
            </w:r>
          </w:p>
        </w:tc>
        <w:tc>
          <w:tcPr>
            <w:tcW w:w="687"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w:t>
            </w:r>
          </w:p>
        </w:tc>
        <w:tc>
          <w:tcPr>
            <w:tcW w:w="686"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378</w:t>
            </w:r>
          </w:p>
        </w:tc>
      </w:tr>
      <w:tr w:rsidR="00737C44" w:rsidRPr="005A5DCB" w:rsidTr="00FE20C1">
        <w:trPr>
          <w:trHeight w:val="227"/>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Ženy</w:t>
            </w:r>
          </w:p>
        </w:tc>
        <w:tc>
          <w:tcPr>
            <w:tcW w:w="757"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133</w:t>
            </w:r>
          </w:p>
        </w:tc>
        <w:tc>
          <w:tcPr>
            <w:tcW w:w="687"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111</w:t>
            </w:r>
          </w:p>
        </w:tc>
        <w:tc>
          <w:tcPr>
            <w:tcW w:w="68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94</w:t>
            </w:r>
          </w:p>
        </w:tc>
        <w:tc>
          <w:tcPr>
            <w:tcW w:w="75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19</w:t>
            </w:r>
          </w:p>
        </w:tc>
        <w:tc>
          <w:tcPr>
            <w:tcW w:w="687"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w:t>
            </w:r>
          </w:p>
        </w:tc>
        <w:tc>
          <w:tcPr>
            <w:tcW w:w="686"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360</w:t>
            </w:r>
          </w:p>
        </w:tc>
      </w:tr>
      <w:tr w:rsidR="00737C44" w:rsidRPr="005A5DCB" w:rsidTr="00FE20C1">
        <w:trPr>
          <w:trHeight w:val="227"/>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Muži v %</w:t>
            </w:r>
          </w:p>
        </w:tc>
        <w:tc>
          <w:tcPr>
            <w:tcW w:w="757"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18,3</w:t>
            </w:r>
          </w:p>
        </w:tc>
        <w:tc>
          <w:tcPr>
            <w:tcW w:w="687"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53,4</w:t>
            </w:r>
          </w:p>
        </w:tc>
        <w:tc>
          <w:tcPr>
            <w:tcW w:w="68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20,4</w:t>
            </w:r>
          </w:p>
        </w:tc>
        <w:tc>
          <w:tcPr>
            <w:tcW w:w="75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7,4</w:t>
            </w:r>
          </w:p>
        </w:tc>
        <w:tc>
          <w:tcPr>
            <w:tcW w:w="687"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0,5</w:t>
            </w:r>
          </w:p>
        </w:tc>
        <w:tc>
          <w:tcPr>
            <w:tcW w:w="686"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37C44" w:rsidRPr="005A5DCB" w:rsidTr="00FE20C1">
        <w:trPr>
          <w:trHeight w:val="227"/>
        </w:trPr>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737C44" w:rsidRPr="005A5DCB" w:rsidRDefault="00737C44" w:rsidP="00FE20C1">
            <w:pPr>
              <w:spacing w:after="0" w:line="240" w:lineRule="auto"/>
              <w:rPr>
                <w:rFonts w:ascii="Times New Roman" w:eastAsia="Times New Roman" w:hAnsi="Times New Roman" w:cs="Times New Roman"/>
                <w:b/>
                <w:bCs/>
                <w:color w:val="000000"/>
                <w:sz w:val="20"/>
                <w:szCs w:val="20"/>
              </w:rPr>
            </w:pPr>
            <w:r w:rsidRPr="005A5DCB">
              <w:rPr>
                <w:rFonts w:ascii="Times New Roman" w:eastAsia="Times New Roman" w:hAnsi="Times New Roman" w:cs="Times New Roman"/>
                <w:b/>
                <w:bCs/>
                <w:color w:val="000000"/>
                <w:sz w:val="20"/>
                <w:szCs w:val="20"/>
              </w:rPr>
              <w:t>Ženy v %</w:t>
            </w:r>
          </w:p>
        </w:tc>
        <w:tc>
          <w:tcPr>
            <w:tcW w:w="757" w:type="pct"/>
            <w:tcBorders>
              <w:top w:val="nil"/>
              <w:left w:val="single" w:sz="4" w:space="0" w:color="auto"/>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36,9</w:t>
            </w:r>
          </w:p>
        </w:tc>
        <w:tc>
          <w:tcPr>
            <w:tcW w:w="687"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30,8</w:t>
            </w:r>
          </w:p>
        </w:tc>
        <w:tc>
          <w:tcPr>
            <w:tcW w:w="688"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26,1</w:t>
            </w:r>
          </w:p>
        </w:tc>
        <w:tc>
          <w:tcPr>
            <w:tcW w:w="751"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5,3</w:t>
            </w:r>
          </w:p>
        </w:tc>
        <w:tc>
          <w:tcPr>
            <w:tcW w:w="687"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sidRPr="005A5DCB">
              <w:rPr>
                <w:rFonts w:ascii="Times New Roman" w:eastAsia="Times New Roman" w:hAnsi="Times New Roman" w:cs="Times New Roman"/>
                <w:color w:val="000000"/>
                <w:sz w:val="20"/>
                <w:szCs w:val="20"/>
              </w:rPr>
              <w:t>0,8</w:t>
            </w:r>
          </w:p>
        </w:tc>
        <w:tc>
          <w:tcPr>
            <w:tcW w:w="686" w:type="pct"/>
            <w:tcBorders>
              <w:top w:val="nil"/>
              <w:left w:val="nil"/>
              <w:bottom w:val="single" w:sz="4" w:space="0" w:color="auto"/>
              <w:right w:val="single" w:sz="4" w:space="0" w:color="auto"/>
            </w:tcBorders>
            <w:shd w:val="clear" w:color="auto" w:fill="auto"/>
            <w:noWrap/>
            <w:vAlign w:val="center"/>
            <w:hideMark/>
          </w:tcPr>
          <w:p w:rsidR="00737C44" w:rsidRPr="005A5DCB" w:rsidRDefault="00737C44" w:rsidP="00FE20C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rsidR="00737C44" w:rsidRPr="00C92C1C" w:rsidRDefault="00737C44" w:rsidP="00737C44">
      <w:pPr>
        <w:spacing w:line="240" w:lineRule="auto"/>
        <w:rPr>
          <w:rFonts w:ascii="Times New Roman" w:hAnsi="Times New Roman" w:cs="Times New Roman"/>
          <w:sz w:val="18"/>
        </w:rPr>
      </w:pPr>
      <w:r w:rsidRPr="009201EF">
        <w:rPr>
          <w:rFonts w:ascii="Times New Roman" w:hAnsi="Times New Roman" w:cs="Times New Roman"/>
          <w:sz w:val="18"/>
        </w:rPr>
        <w:t xml:space="preserve">Zdroj: ČSÚ </w:t>
      </w:r>
      <w:r>
        <w:rPr>
          <w:rFonts w:ascii="Times New Roman" w:hAnsi="Times New Roman" w:cs="Times New Roman"/>
          <w:sz w:val="18"/>
        </w:rPr>
        <w:t>– SLDB 2011, vlastní zpracování</w:t>
      </w:r>
    </w:p>
    <w:p w:rsidR="00737C44" w:rsidRPr="009201EF" w:rsidRDefault="00737C44" w:rsidP="00737C44">
      <w:pPr>
        <w:jc w:val="both"/>
        <w:rPr>
          <w:rFonts w:ascii="Times New Roman" w:hAnsi="Times New Roman" w:cs="Times New Roman"/>
        </w:rPr>
      </w:pPr>
      <w:r>
        <w:rPr>
          <w:rFonts w:ascii="Times New Roman" w:hAnsi="Times New Roman" w:cs="Times New Roman"/>
        </w:rPr>
        <w:t>Z hlediska srovnání mužů a žen v dokončeném stupni vzdělání, dosahují ženy horších hodnot ve stupni základního vzdělání.</w:t>
      </w:r>
    </w:p>
    <w:p w:rsidR="00737C44" w:rsidRPr="009201EF" w:rsidRDefault="00737C44" w:rsidP="00737C44">
      <w:pPr>
        <w:jc w:val="both"/>
        <w:rPr>
          <w:rFonts w:ascii="Times New Roman" w:hAnsi="Times New Roman" w:cs="Times New Roman"/>
        </w:rPr>
      </w:pPr>
      <w:r w:rsidRPr="009201EF">
        <w:rPr>
          <w:rFonts w:ascii="Times New Roman" w:hAnsi="Times New Roman" w:cs="Times New Roman"/>
        </w:rPr>
        <w:t>Vzdělano</w:t>
      </w:r>
      <w:r>
        <w:rPr>
          <w:rFonts w:ascii="Times New Roman" w:hAnsi="Times New Roman" w:cs="Times New Roman"/>
        </w:rPr>
        <w:t xml:space="preserve">stní struktura </w:t>
      </w:r>
      <w:r w:rsidRPr="009201EF">
        <w:rPr>
          <w:rFonts w:ascii="Times New Roman" w:hAnsi="Times New Roman" w:cs="Times New Roman"/>
        </w:rPr>
        <w:t xml:space="preserve">je zachycena v následujícím grafu, ze kterého lze vyčíst absolutní hodnoty reprezentující jednotlivé kategorie. </w:t>
      </w:r>
    </w:p>
    <w:p w:rsidR="00737C44" w:rsidRPr="009201EF" w:rsidRDefault="00737C44" w:rsidP="00737C44">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Vzdělano</w:t>
      </w:r>
      <w:r>
        <w:rPr>
          <w:rFonts w:ascii="Times New Roman" w:hAnsi="Times New Roman" w:cs="Times New Roman"/>
          <w:sz w:val="18"/>
        </w:rPr>
        <w:t xml:space="preserve">stní struktura obyvatel </w:t>
      </w:r>
      <w:r w:rsidRPr="009201EF">
        <w:rPr>
          <w:rFonts w:ascii="Times New Roman" w:hAnsi="Times New Roman" w:cs="Times New Roman"/>
          <w:sz w:val="18"/>
        </w:rPr>
        <w:t>v roce 2011, absolutní hodnoty</w:t>
      </w:r>
    </w:p>
    <w:p w:rsidR="00737C44" w:rsidRPr="009201EF" w:rsidRDefault="00737C44" w:rsidP="00737C44">
      <w:pPr>
        <w:spacing w:after="0" w:line="240" w:lineRule="auto"/>
        <w:rPr>
          <w:rFonts w:ascii="Times New Roman" w:hAnsi="Times New Roman" w:cs="Times New Roman"/>
          <w:sz w:val="18"/>
        </w:rPr>
      </w:pPr>
      <w:r>
        <w:rPr>
          <w:noProof/>
        </w:rPr>
        <w:drawing>
          <wp:inline distT="0" distB="0" distL="0" distR="0" wp14:anchorId="5467548D" wp14:editId="1B237BEB">
            <wp:extent cx="5724525" cy="2181225"/>
            <wp:effectExtent l="76200" t="57150" r="66675" b="857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7C44" w:rsidRPr="009201EF" w:rsidRDefault="00737C44" w:rsidP="00737C44">
      <w:pPr>
        <w:spacing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p>
    <w:p w:rsidR="00737C44" w:rsidRDefault="00737C44" w:rsidP="00737C44">
      <w:pPr>
        <w:rPr>
          <w:rFonts w:ascii="Times New Roman" w:hAnsi="Times New Roman" w:cs="Times New Roman"/>
        </w:rPr>
      </w:pPr>
      <w:r w:rsidRPr="009201EF">
        <w:rPr>
          <w:rFonts w:ascii="Times New Roman" w:hAnsi="Times New Roman" w:cs="Times New Roman"/>
        </w:rPr>
        <w:t>Dominantní je tedy vzdělání stř</w:t>
      </w:r>
      <w:r>
        <w:rPr>
          <w:rFonts w:ascii="Times New Roman" w:hAnsi="Times New Roman" w:cs="Times New Roman"/>
        </w:rPr>
        <w:t>ední bez maturity, následuje základní vč. neukončeného.</w:t>
      </w:r>
      <w:r w:rsidRPr="009201EF">
        <w:rPr>
          <w:rFonts w:ascii="Times New Roman" w:hAnsi="Times New Roman" w:cs="Times New Roman"/>
        </w:rPr>
        <w:t xml:space="preserve"> </w:t>
      </w:r>
    </w:p>
    <w:p w:rsidR="00737C44" w:rsidRPr="00CC17C7" w:rsidRDefault="00737C44" w:rsidP="00737C44">
      <w:pPr>
        <w:rPr>
          <w:rFonts w:ascii="Times New Roman" w:hAnsi="Times New Roman" w:cs="Times New Roman"/>
        </w:rPr>
      </w:pPr>
    </w:p>
    <w:p w:rsidR="00737C44" w:rsidRPr="009201EF" w:rsidRDefault="00737C44" w:rsidP="00737C44">
      <w:pPr>
        <w:pStyle w:val="Nadpis4"/>
      </w:pPr>
      <w:bookmarkStart w:id="6" w:name="_Toc420948852"/>
      <w:r w:rsidRPr="009201EF">
        <w:t>Dílčí SWOT analýza</w:t>
      </w:r>
      <w:bookmarkEnd w:id="6"/>
    </w:p>
    <w:p w:rsidR="00737C44" w:rsidRPr="00E60A4D" w:rsidRDefault="00737C44" w:rsidP="00737C44">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606"/>
        <w:gridCol w:w="4606"/>
      </w:tblGrid>
      <w:tr w:rsidR="00737C44" w:rsidRPr="009201EF" w:rsidTr="00FE20C1">
        <w:tc>
          <w:tcPr>
            <w:tcW w:w="4606" w:type="dxa"/>
            <w:shd w:val="clear" w:color="auto" w:fill="auto"/>
          </w:tcPr>
          <w:p w:rsidR="00737C44" w:rsidRPr="00B05BFF" w:rsidRDefault="00737C44"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dlouhodobě stabilní počet narozených dětí</w:t>
            </w:r>
          </w:p>
          <w:p w:rsidR="00737C44" w:rsidRPr="00B05BFF" w:rsidRDefault="00737C44" w:rsidP="00FE20C1">
            <w:pPr>
              <w:ind w:left="360"/>
              <w:contextualSpacing/>
              <w:rPr>
                <w:rFonts w:ascii="Times New Roman" w:hAnsi="Times New Roman" w:cs="Times New Roman"/>
                <w:color w:val="17365D" w:themeColor="text2" w:themeShade="BF"/>
              </w:rPr>
            </w:pPr>
          </w:p>
        </w:tc>
        <w:tc>
          <w:tcPr>
            <w:tcW w:w="4606" w:type="dxa"/>
            <w:shd w:val="clear" w:color="auto" w:fill="auto"/>
          </w:tcPr>
          <w:p w:rsidR="00737C44" w:rsidRPr="00B05BFF" w:rsidRDefault="00737C44"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klesající vývoj počtu obyvatel</w:t>
            </w:r>
          </w:p>
          <w:p w:rsidR="00737C44" w:rsidRPr="00B05BFF" w:rsidRDefault="00737C44"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dlouhodobě záporné saldo přirozeného přírůstku obyvatel</w:t>
            </w:r>
          </w:p>
          <w:p w:rsidR="00737C44" w:rsidRDefault="00737C44"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stárnutí obyvatelstva</w:t>
            </w:r>
          </w:p>
          <w:p w:rsidR="00737C44" w:rsidRPr="00B05BFF" w:rsidRDefault="00737C44" w:rsidP="00FE20C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skokový nárůst obyvatel ve věku nad 65 let (přesun obyvatel z produktivní skupiny – silné povalečné ročníky)</w:t>
            </w:r>
          </w:p>
          <w:p w:rsidR="00737C44" w:rsidRPr="00B05BFF" w:rsidRDefault="00737C44"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1/4 obyvatel dosahuje základního vzdělání</w:t>
            </w:r>
          </w:p>
        </w:tc>
      </w:tr>
      <w:tr w:rsidR="00737C44" w:rsidRPr="009201EF" w:rsidTr="00FE20C1">
        <w:tc>
          <w:tcPr>
            <w:tcW w:w="4606" w:type="dxa"/>
            <w:shd w:val="clear" w:color="auto" w:fill="auto"/>
          </w:tcPr>
          <w:p w:rsidR="00737C44" w:rsidRDefault="00737C44"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stabilizace počtu obyvatel a zkvalitnění demografické struktury</w:t>
            </w:r>
            <w:r>
              <w:rPr>
                <w:rFonts w:ascii="Times New Roman" w:hAnsi="Times New Roman" w:cs="Times New Roman"/>
                <w:color w:val="17365D" w:themeColor="text2" w:themeShade="BF"/>
              </w:rPr>
              <w:t xml:space="preserve"> stěhováním nových obyvatel</w:t>
            </w:r>
          </w:p>
          <w:p w:rsidR="00737C44" w:rsidRPr="00B05BFF" w:rsidRDefault="00737C44" w:rsidP="00FE20C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zajištění dostupnosti soc. služeb, zdravotnictví pro cílové skupiny seniorů</w:t>
            </w:r>
          </w:p>
        </w:tc>
        <w:tc>
          <w:tcPr>
            <w:tcW w:w="4606" w:type="dxa"/>
            <w:shd w:val="clear" w:color="auto" w:fill="auto"/>
          </w:tcPr>
          <w:p w:rsidR="00737C44" w:rsidRPr="00B05BFF" w:rsidRDefault="00737C44"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pokračující nepřízn</w:t>
            </w:r>
            <w:r>
              <w:rPr>
                <w:rFonts w:ascii="Times New Roman" w:hAnsi="Times New Roman" w:cs="Times New Roman"/>
                <w:color w:val="17365D" w:themeColor="text2" w:themeShade="BF"/>
              </w:rPr>
              <w:t>ivý demografický vývoj stárnutím</w:t>
            </w:r>
            <w:r w:rsidRPr="00B05BFF">
              <w:rPr>
                <w:rFonts w:ascii="Times New Roman" w:hAnsi="Times New Roman" w:cs="Times New Roman"/>
                <w:color w:val="17365D" w:themeColor="text2" w:themeShade="BF"/>
              </w:rPr>
              <w:t xml:space="preserve"> obyvatelstva</w:t>
            </w:r>
          </w:p>
          <w:p w:rsidR="00737C44" w:rsidRPr="00B05BFF" w:rsidRDefault="00737C44" w:rsidP="00FE20C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n</w:t>
            </w:r>
            <w:r>
              <w:rPr>
                <w:rFonts w:ascii="Times New Roman" w:hAnsi="Times New Roman" w:cs="Times New Roman"/>
                <w:color w:val="17365D" w:themeColor="text2" w:themeShade="BF"/>
              </w:rPr>
              <w:t>epřipravenost obce</w:t>
            </w:r>
            <w:r w:rsidRPr="00B05BFF">
              <w:rPr>
                <w:rFonts w:ascii="Times New Roman" w:hAnsi="Times New Roman" w:cs="Times New Roman"/>
                <w:color w:val="17365D" w:themeColor="text2" w:themeShade="BF"/>
              </w:rPr>
              <w:t xml:space="preserve"> na nárůst obyvatels</w:t>
            </w:r>
            <w:r>
              <w:rPr>
                <w:rFonts w:ascii="Times New Roman" w:hAnsi="Times New Roman" w:cs="Times New Roman"/>
                <w:color w:val="17365D" w:themeColor="text2" w:themeShade="BF"/>
              </w:rPr>
              <w:t>tva ve věkových skupinách nad 70</w:t>
            </w:r>
            <w:r w:rsidRPr="00B05BFF">
              <w:rPr>
                <w:rFonts w:ascii="Times New Roman" w:hAnsi="Times New Roman" w:cs="Times New Roman"/>
                <w:color w:val="17365D" w:themeColor="text2" w:themeShade="BF"/>
              </w:rPr>
              <w:t xml:space="preserve"> let</w:t>
            </w:r>
          </w:p>
        </w:tc>
      </w:tr>
    </w:tbl>
    <w:p w:rsidR="00737C44" w:rsidRPr="00175FA7" w:rsidRDefault="00737C44" w:rsidP="00175FA7">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bookmarkStart w:id="7" w:name="_GoBack"/>
      <w:bookmarkEnd w:id="3"/>
      <w:bookmarkEnd w:id="4"/>
      <w:bookmarkEnd w:id="5"/>
      <w:bookmarkEnd w:id="7"/>
    </w:p>
    <w:sectPr w:rsidR="00737C44" w:rsidRPr="00175FA7" w:rsidSect="00E60A4D">
      <w:headerReference w:type="default" r:id="rId14"/>
      <w:footerReference w:type="default" r:id="rId15"/>
      <w:headerReference w:type="first" r:id="rId16"/>
      <w:pgSz w:w="11906" w:h="16838"/>
      <w:pgMar w:top="1417" w:right="1417" w:bottom="1417" w:left="1417"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E4" w:rsidRDefault="00555EE4" w:rsidP="00420A84">
      <w:pPr>
        <w:spacing w:after="0" w:line="240" w:lineRule="auto"/>
      </w:pPr>
      <w:r>
        <w:separator/>
      </w:r>
    </w:p>
  </w:endnote>
  <w:endnote w:type="continuationSeparator" w:id="0">
    <w:p w:rsidR="00555EE4" w:rsidRDefault="00555EE4" w:rsidP="0042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030585"/>
      <w:docPartObj>
        <w:docPartGallery w:val="Page Numbers (Bottom of Page)"/>
        <w:docPartUnique/>
      </w:docPartObj>
    </w:sdtPr>
    <w:sdtEndPr/>
    <w:sdtContent>
      <w:p w:rsidR="001875F7" w:rsidRDefault="001875F7">
        <w:pPr>
          <w:pStyle w:val="Zpat"/>
          <w:jc w:val="right"/>
        </w:pPr>
        <w:r>
          <w:rPr>
            <w:noProof/>
          </w:rPr>
          <w:fldChar w:fldCharType="begin"/>
        </w:r>
        <w:r>
          <w:rPr>
            <w:noProof/>
          </w:rPr>
          <w:instrText>PAGE   \* MERGEFORMAT</w:instrText>
        </w:r>
        <w:r>
          <w:rPr>
            <w:noProof/>
          </w:rPr>
          <w:fldChar w:fldCharType="separate"/>
        </w:r>
        <w:r w:rsidR="00175FA7">
          <w:rPr>
            <w:noProof/>
          </w:rPr>
          <w:t>6</w:t>
        </w:r>
        <w:r>
          <w:rPr>
            <w:noProof/>
          </w:rPr>
          <w:fldChar w:fldCharType="end"/>
        </w:r>
      </w:p>
    </w:sdtContent>
  </w:sdt>
  <w:p w:rsidR="001875F7" w:rsidRDefault="001875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E4" w:rsidRDefault="00555EE4" w:rsidP="00420A84">
      <w:pPr>
        <w:spacing w:after="0" w:line="240" w:lineRule="auto"/>
      </w:pPr>
      <w:r>
        <w:separator/>
      </w:r>
    </w:p>
  </w:footnote>
  <w:footnote w:type="continuationSeparator" w:id="0">
    <w:p w:rsidR="00555EE4" w:rsidRDefault="00555EE4" w:rsidP="0042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F7" w:rsidRPr="00D9470F" w:rsidRDefault="001875F7" w:rsidP="006D1527">
    <w:pPr>
      <w:pStyle w:val="Zhlav"/>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68DAA97A" wp14:editId="27A49DDD">
          <wp:simplePos x="0" y="0"/>
          <wp:positionH relativeFrom="column">
            <wp:posOffset>4100830</wp:posOffset>
          </wp:positionH>
          <wp:positionV relativeFrom="paragraph">
            <wp:posOffset>-68580</wp:posOffset>
          </wp:positionV>
          <wp:extent cx="2105025" cy="436245"/>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1875F7" w:rsidRDefault="001875F7">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F7" w:rsidRPr="00D9470F" w:rsidRDefault="001875F7" w:rsidP="006D1527">
    <w:pPr>
      <w:pStyle w:val="Zhlav"/>
      <w:rPr>
        <w:rFonts w:ascii="Times New Roman" w:hAnsi="Times New Roman" w:cs="Times New Roman"/>
        <w:sz w:val="24"/>
        <w:szCs w:val="24"/>
      </w:rPr>
    </w:pPr>
    <w:r>
      <w:rPr>
        <w:noProof/>
      </w:rPr>
      <w:drawing>
        <wp:anchor distT="0" distB="0" distL="114300" distR="114300" simplePos="0" relativeHeight="251656192" behindDoc="0" locked="0" layoutInCell="1" allowOverlap="1" wp14:anchorId="7148FA61" wp14:editId="17BA45F0">
          <wp:simplePos x="0" y="0"/>
          <wp:positionH relativeFrom="column">
            <wp:posOffset>4100830</wp:posOffset>
          </wp:positionH>
          <wp:positionV relativeFrom="paragraph">
            <wp:posOffset>-68580</wp:posOffset>
          </wp:positionV>
          <wp:extent cx="2105025" cy="436245"/>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1875F7" w:rsidRDefault="001875F7">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27"/>
    <w:multiLevelType w:val="hybridMultilevel"/>
    <w:tmpl w:val="98CC736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1A0BB1"/>
    <w:multiLevelType w:val="hybridMultilevel"/>
    <w:tmpl w:val="22FA58D6"/>
    <w:lvl w:ilvl="0" w:tplc="51A232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F87A83"/>
    <w:multiLevelType w:val="hybridMultilevel"/>
    <w:tmpl w:val="7618F9EC"/>
    <w:lvl w:ilvl="0" w:tplc="A306BA80">
      <w:start w:val="1"/>
      <w:numFmt w:val="bullet"/>
      <w:lvlText w:val=""/>
      <w:lvlJc w:val="left"/>
      <w:pPr>
        <w:ind w:left="4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D90575"/>
    <w:multiLevelType w:val="hybridMultilevel"/>
    <w:tmpl w:val="1DAC98D0"/>
    <w:lvl w:ilvl="0" w:tplc="A306BA80">
      <w:start w:val="1"/>
      <w:numFmt w:val="bullet"/>
      <w:lvlText w:val=""/>
      <w:lvlJc w:val="left"/>
      <w:pPr>
        <w:ind w:left="780" w:hanging="360"/>
      </w:pPr>
      <w:rPr>
        <w:rFonts w:ascii="Symbol" w:hAnsi="Symbol" w:hint="default"/>
        <w:color w:val="17365D" w:themeColor="text2" w:themeShade="BF"/>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19726ACB"/>
    <w:multiLevelType w:val="hybridMultilevel"/>
    <w:tmpl w:val="960E11F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A0039A"/>
    <w:multiLevelType w:val="hybridMultilevel"/>
    <w:tmpl w:val="C15C7EB6"/>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C6B7D08"/>
    <w:multiLevelType w:val="hybridMultilevel"/>
    <w:tmpl w:val="F288E7F6"/>
    <w:lvl w:ilvl="0" w:tplc="A306BA80">
      <w:start w:val="1"/>
      <w:numFmt w:val="bullet"/>
      <w:lvlText w:val=""/>
      <w:lvlJc w:val="left"/>
      <w:pPr>
        <w:ind w:left="780" w:hanging="360"/>
      </w:pPr>
      <w:rPr>
        <w:rFonts w:ascii="Symbol" w:hAnsi="Symbol" w:hint="default"/>
        <w:color w:val="17365D" w:themeColor="text2" w:themeShade="BF"/>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1E06719E"/>
    <w:multiLevelType w:val="hybridMultilevel"/>
    <w:tmpl w:val="0CFED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125FC3"/>
    <w:multiLevelType w:val="hybridMultilevel"/>
    <w:tmpl w:val="7E006746"/>
    <w:lvl w:ilvl="0" w:tplc="FEEC4F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4F7FB2"/>
    <w:multiLevelType w:val="hybridMultilevel"/>
    <w:tmpl w:val="6CC8D100"/>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6B77E55"/>
    <w:multiLevelType w:val="hybridMultilevel"/>
    <w:tmpl w:val="CC4619C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412CE9"/>
    <w:multiLevelType w:val="hybridMultilevel"/>
    <w:tmpl w:val="6310E38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585E66"/>
    <w:multiLevelType w:val="hybridMultilevel"/>
    <w:tmpl w:val="64766DE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9E177A"/>
    <w:multiLevelType w:val="hybridMultilevel"/>
    <w:tmpl w:val="9B36045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D360D3"/>
    <w:multiLevelType w:val="hybridMultilevel"/>
    <w:tmpl w:val="91584E5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4F012B"/>
    <w:multiLevelType w:val="hybridMultilevel"/>
    <w:tmpl w:val="0FC43D4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56B15A4"/>
    <w:multiLevelType w:val="hybridMultilevel"/>
    <w:tmpl w:val="E3F26090"/>
    <w:lvl w:ilvl="0" w:tplc="A306BA80">
      <w:start w:val="1"/>
      <w:numFmt w:val="bullet"/>
      <w:lvlText w:val=""/>
      <w:lvlJc w:val="left"/>
      <w:pPr>
        <w:ind w:left="1080" w:hanging="360"/>
      </w:pPr>
      <w:rPr>
        <w:rFonts w:ascii="Symbol" w:hAnsi="Symbol" w:hint="default"/>
        <w:color w:val="17365D" w:themeColor="text2" w:themeShade="BF"/>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36E05DB1"/>
    <w:multiLevelType w:val="hybridMultilevel"/>
    <w:tmpl w:val="2898A17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660542"/>
    <w:multiLevelType w:val="hybridMultilevel"/>
    <w:tmpl w:val="D318BC46"/>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D56C78"/>
    <w:multiLevelType w:val="hybridMultilevel"/>
    <w:tmpl w:val="47B67F58"/>
    <w:lvl w:ilvl="0" w:tplc="369202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0DA36B6"/>
    <w:multiLevelType w:val="hybridMultilevel"/>
    <w:tmpl w:val="54AE1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A15A5D"/>
    <w:multiLevelType w:val="hybridMultilevel"/>
    <w:tmpl w:val="9A4CD0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0211E8"/>
    <w:multiLevelType w:val="hybridMultilevel"/>
    <w:tmpl w:val="266EA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17333F"/>
    <w:multiLevelType w:val="hybridMultilevel"/>
    <w:tmpl w:val="529EFA76"/>
    <w:lvl w:ilvl="0" w:tplc="A306BA80">
      <w:start w:val="1"/>
      <w:numFmt w:val="bullet"/>
      <w:lvlText w:val=""/>
      <w:lvlJc w:val="left"/>
      <w:pPr>
        <w:ind w:left="776" w:hanging="360"/>
      </w:pPr>
      <w:rPr>
        <w:rFonts w:ascii="Symbol" w:hAnsi="Symbol" w:hint="default"/>
        <w:color w:val="17365D" w:themeColor="text2" w:themeShade="BF"/>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4">
    <w:nsid w:val="47775890"/>
    <w:multiLevelType w:val="hybridMultilevel"/>
    <w:tmpl w:val="AD0C35F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4B2660"/>
    <w:multiLevelType w:val="hybridMultilevel"/>
    <w:tmpl w:val="B226FC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A73671C"/>
    <w:multiLevelType w:val="hybridMultilevel"/>
    <w:tmpl w:val="EA6A8FB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BAB21BF"/>
    <w:multiLevelType w:val="hybridMultilevel"/>
    <w:tmpl w:val="898EB23C"/>
    <w:lvl w:ilvl="0" w:tplc="3A7CEF2E">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F4C6320"/>
    <w:multiLevelType w:val="hybridMultilevel"/>
    <w:tmpl w:val="3BEC41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058069F"/>
    <w:multiLevelType w:val="hybridMultilevel"/>
    <w:tmpl w:val="FD9C1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42845BB"/>
    <w:multiLevelType w:val="hybridMultilevel"/>
    <w:tmpl w:val="A91C38E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F10253E"/>
    <w:multiLevelType w:val="hybridMultilevel"/>
    <w:tmpl w:val="E728A9F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05A2627"/>
    <w:multiLevelType w:val="hybridMultilevel"/>
    <w:tmpl w:val="A060181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1123AA6"/>
    <w:multiLevelType w:val="hybridMultilevel"/>
    <w:tmpl w:val="58A2A8B2"/>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1C87C7F"/>
    <w:multiLevelType w:val="hybridMultilevel"/>
    <w:tmpl w:val="F29E536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3155996"/>
    <w:multiLevelType w:val="hybridMultilevel"/>
    <w:tmpl w:val="6F2C7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3A61837"/>
    <w:multiLevelType w:val="hybridMultilevel"/>
    <w:tmpl w:val="7C28795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2E744D"/>
    <w:multiLevelType w:val="hybridMultilevel"/>
    <w:tmpl w:val="E98C343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0105DC"/>
    <w:multiLevelType w:val="hybridMultilevel"/>
    <w:tmpl w:val="F010550C"/>
    <w:lvl w:ilvl="0" w:tplc="A306BA80">
      <w:start w:val="1"/>
      <w:numFmt w:val="bullet"/>
      <w:lvlText w:val=""/>
      <w:lvlJc w:val="left"/>
      <w:pPr>
        <w:ind w:left="4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A2553A5"/>
    <w:multiLevelType w:val="hybridMultilevel"/>
    <w:tmpl w:val="5D7A781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AFB793A"/>
    <w:multiLevelType w:val="hybridMultilevel"/>
    <w:tmpl w:val="E460FD2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EF20D28"/>
    <w:multiLevelType w:val="hybridMultilevel"/>
    <w:tmpl w:val="3EBE5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5411C0B"/>
    <w:multiLevelType w:val="hybridMultilevel"/>
    <w:tmpl w:val="EB76CAE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7E055FFC"/>
    <w:multiLevelType w:val="hybridMultilevel"/>
    <w:tmpl w:val="169A766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77495A"/>
    <w:multiLevelType w:val="hybridMultilevel"/>
    <w:tmpl w:val="8220889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3"/>
  </w:num>
  <w:num w:numId="6">
    <w:abstractNumId w:val="16"/>
  </w:num>
  <w:num w:numId="7">
    <w:abstractNumId w:val="33"/>
  </w:num>
  <w:num w:numId="8">
    <w:abstractNumId w:val="3"/>
  </w:num>
  <w:num w:numId="9">
    <w:abstractNumId w:val="11"/>
  </w:num>
  <w:num w:numId="10">
    <w:abstractNumId w:val="17"/>
  </w:num>
  <w:num w:numId="11">
    <w:abstractNumId w:val="12"/>
  </w:num>
  <w:num w:numId="12">
    <w:abstractNumId w:val="5"/>
  </w:num>
  <w:num w:numId="13">
    <w:abstractNumId w:val="9"/>
  </w:num>
  <w:num w:numId="14">
    <w:abstractNumId w:val="30"/>
  </w:num>
  <w:num w:numId="15">
    <w:abstractNumId w:val="32"/>
  </w:num>
  <w:num w:numId="16">
    <w:abstractNumId w:val="43"/>
  </w:num>
  <w:num w:numId="17">
    <w:abstractNumId w:val="44"/>
  </w:num>
  <w:num w:numId="18">
    <w:abstractNumId w:val="37"/>
  </w:num>
  <w:num w:numId="19">
    <w:abstractNumId w:val="4"/>
  </w:num>
  <w:num w:numId="20">
    <w:abstractNumId w:val="31"/>
  </w:num>
  <w:num w:numId="21">
    <w:abstractNumId w:val="39"/>
  </w:num>
  <w:num w:numId="22">
    <w:abstractNumId w:val="34"/>
  </w:num>
  <w:num w:numId="23">
    <w:abstractNumId w:val="27"/>
  </w:num>
  <w:num w:numId="24">
    <w:abstractNumId w:val="38"/>
  </w:num>
  <w:num w:numId="25">
    <w:abstractNumId w:val="2"/>
  </w:num>
  <w:num w:numId="26">
    <w:abstractNumId w:val="23"/>
  </w:num>
  <w:num w:numId="27">
    <w:abstractNumId w:val="6"/>
  </w:num>
  <w:num w:numId="28">
    <w:abstractNumId w:val="18"/>
  </w:num>
  <w:num w:numId="29">
    <w:abstractNumId w:val="10"/>
  </w:num>
  <w:num w:numId="30">
    <w:abstractNumId w:val="40"/>
  </w:num>
  <w:num w:numId="31">
    <w:abstractNumId w:val="36"/>
  </w:num>
  <w:num w:numId="32">
    <w:abstractNumId w:val="26"/>
  </w:num>
  <w:num w:numId="33">
    <w:abstractNumId w:val="15"/>
  </w:num>
  <w:num w:numId="34">
    <w:abstractNumId w:val="24"/>
  </w:num>
  <w:num w:numId="35">
    <w:abstractNumId w:val="0"/>
  </w:num>
  <w:num w:numId="36">
    <w:abstractNumId w:val="41"/>
  </w:num>
  <w:num w:numId="37">
    <w:abstractNumId w:val="29"/>
  </w:num>
  <w:num w:numId="38">
    <w:abstractNumId w:val="22"/>
  </w:num>
  <w:num w:numId="39">
    <w:abstractNumId w:val="20"/>
  </w:num>
  <w:num w:numId="40">
    <w:abstractNumId w:val="19"/>
  </w:num>
  <w:num w:numId="41">
    <w:abstractNumId w:val="35"/>
  </w:num>
  <w:num w:numId="42">
    <w:abstractNumId w:val="7"/>
  </w:num>
  <w:num w:numId="43">
    <w:abstractNumId w:val="28"/>
  </w:num>
  <w:num w:numId="44">
    <w:abstractNumId w:val="25"/>
  </w:num>
  <w:num w:numId="45">
    <w:abstractNumId w:val="21"/>
  </w:num>
  <w:num w:numId="4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EF"/>
    <w:rsid w:val="00001673"/>
    <w:rsid w:val="000055BA"/>
    <w:rsid w:val="000119E5"/>
    <w:rsid w:val="000128E7"/>
    <w:rsid w:val="0001468F"/>
    <w:rsid w:val="000151F2"/>
    <w:rsid w:val="00017990"/>
    <w:rsid w:val="00017BE0"/>
    <w:rsid w:val="000204CD"/>
    <w:rsid w:val="00021752"/>
    <w:rsid w:val="00021877"/>
    <w:rsid w:val="00025604"/>
    <w:rsid w:val="00025982"/>
    <w:rsid w:val="00027315"/>
    <w:rsid w:val="000307AF"/>
    <w:rsid w:val="0003245B"/>
    <w:rsid w:val="00032743"/>
    <w:rsid w:val="00034429"/>
    <w:rsid w:val="0003593A"/>
    <w:rsid w:val="000379C3"/>
    <w:rsid w:val="000407DA"/>
    <w:rsid w:val="0004093B"/>
    <w:rsid w:val="00040A6E"/>
    <w:rsid w:val="00041D6D"/>
    <w:rsid w:val="00051F4B"/>
    <w:rsid w:val="00052997"/>
    <w:rsid w:val="0005360D"/>
    <w:rsid w:val="00053D23"/>
    <w:rsid w:val="00053EE8"/>
    <w:rsid w:val="00055909"/>
    <w:rsid w:val="00055B93"/>
    <w:rsid w:val="00056115"/>
    <w:rsid w:val="00057B28"/>
    <w:rsid w:val="00063D28"/>
    <w:rsid w:val="000642C1"/>
    <w:rsid w:val="000643A7"/>
    <w:rsid w:val="000659A4"/>
    <w:rsid w:val="00070FBE"/>
    <w:rsid w:val="00072F05"/>
    <w:rsid w:val="000736D1"/>
    <w:rsid w:val="00077E7F"/>
    <w:rsid w:val="00081C5C"/>
    <w:rsid w:val="000831E1"/>
    <w:rsid w:val="00085B8E"/>
    <w:rsid w:val="00096AE9"/>
    <w:rsid w:val="000A2838"/>
    <w:rsid w:val="000A62FA"/>
    <w:rsid w:val="000A78DE"/>
    <w:rsid w:val="000A798E"/>
    <w:rsid w:val="000B06A1"/>
    <w:rsid w:val="000B1A12"/>
    <w:rsid w:val="000B2F14"/>
    <w:rsid w:val="000C09C5"/>
    <w:rsid w:val="000C2ED3"/>
    <w:rsid w:val="000D1B89"/>
    <w:rsid w:val="000D1CCB"/>
    <w:rsid w:val="000D6655"/>
    <w:rsid w:val="000E1C01"/>
    <w:rsid w:val="000E7318"/>
    <w:rsid w:val="000F3912"/>
    <w:rsid w:val="000F42A0"/>
    <w:rsid w:val="000F5D98"/>
    <w:rsid w:val="000F7130"/>
    <w:rsid w:val="00100F9F"/>
    <w:rsid w:val="00102630"/>
    <w:rsid w:val="001039D2"/>
    <w:rsid w:val="0010675A"/>
    <w:rsid w:val="0011207C"/>
    <w:rsid w:val="00115E71"/>
    <w:rsid w:val="00116DB7"/>
    <w:rsid w:val="00117818"/>
    <w:rsid w:val="001230BB"/>
    <w:rsid w:val="001230E6"/>
    <w:rsid w:val="00123F2B"/>
    <w:rsid w:val="001276A4"/>
    <w:rsid w:val="00132BE7"/>
    <w:rsid w:val="00134505"/>
    <w:rsid w:val="00144DAB"/>
    <w:rsid w:val="00147B9C"/>
    <w:rsid w:val="00147D71"/>
    <w:rsid w:val="00157DBF"/>
    <w:rsid w:val="00162A6A"/>
    <w:rsid w:val="00175202"/>
    <w:rsid w:val="00175FA7"/>
    <w:rsid w:val="00175FDA"/>
    <w:rsid w:val="0018510F"/>
    <w:rsid w:val="00186633"/>
    <w:rsid w:val="00186667"/>
    <w:rsid w:val="001875F7"/>
    <w:rsid w:val="00190237"/>
    <w:rsid w:val="001A7BD6"/>
    <w:rsid w:val="001B37C9"/>
    <w:rsid w:val="001C58D7"/>
    <w:rsid w:val="001C5DF2"/>
    <w:rsid w:val="001C5ED8"/>
    <w:rsid w:val="001D2BD7"/>
    <w:rsid w:val="001D7BF2"/>
    <w:rsid w:val="001E331A"/>
    <w:rsid w:val="001E49FD"/>
    <w:rsid w:val="001E5730"/>
    <w:rsid w:val="001F3BCA"/>
    <w:rsid w:val="001F50BB"/>
    <w:rsid w:val="00200B0A"/>
    <w:rsid w:val="002014FF"/>
    <w:rsid w:val="00202989"/>
    <w:rsid w:val="002103AA"/>
    <w:rsid w:val="00213121"/>
    <w:rsid w:val="002145D1"/>
    <w:rsid w:val="00222BC4"/>
    <w:rsid w:val="00222C28"/>
    <w:rsid w:val="0022351B"/>
    <w:rsid w:val="00223F38"/>
    <w:rsid w:val="00232D88"/>
    <w:rsid w:val="00245332"/>
    <w:rsid w:val="00251AB4"/>
    <w:rsid w:val="0025503C"/>
    <w:rsid w:val="00261D9F"/>
    <w:rsid w:val="00265246"/>
    <w:rsid w:val="00272C67"/>
    <w:rsid w:val="00275257"/>
    <w:rsid w:val="00276D3C"/>
    <w:rsid w:val="00291CF7"/>
    <w:rsid w:val="00295507"/>
    <w:rsid w:val="002A1DE6"/>
    <w:rsid w:val="002A270C"/>
    <w:rsid w:val="002A3FC7"/>
    <w:rsid w:val="002B0D34"/>
    <w:rsid w:val="002B12BA"/>
    <w:rsid w:val="002B1D2D"/>
    <w:rsid w:val="002B1E37"/>
    <w:rsid w:val="002C4696"/>
    <w:rsid w:val="002C7341"/>
    <w:rsid w:val="002D1908"/>
    <w:rsid w:val="002D4B11"/>
    <w:rsid w:val="002D7F64"/>
    <w:rsid w:val="002E2A31"/>
    <w:rsid w:val="002F4F7D"/>
    <w:rsid w:val="002F7518"/>
    <w:rsid w:val="003039A2"/>
    <w:rsid w:val="0030483C"/>
    <w:rsid w:val="003071E8"/>
    <w:rsid w:val="00313A55"/>
    <w:rsid w:val="00315490"/>
    <w:rsid w:val="00316A2B"/>
    <w:rsid w:val="003205D7"/>
    <w:rsid w:val="00320855"/>
    <w:rsid w:val="00323D54"/>
    <w:rsid w:val="00324CCC"/>
    <w:rsid w:val="00327D78"/>
    <w:rsid w:val="0033007C"/>
    <w:rsid w:val="00331062"/>
    <w:rsid w:val="00333991"/>
    <w:rsid w:val="003375D2"/>
    <w:rsid w:val="003415B0"/>
    <w:rsid w:val="0034505D"/>
    <w:rsid w:val="00346FD9"/>
    <w:rsid w:val="00347A93"/>
    <w:rsid w:val="00350057"/>
    <w:rsid w:val="003555B6"/>
    <w:rsid w:val="00355836"/>
    <w:rsid w:val="00360102"/>
    <w:rsid w:val="00364534"/>
    <w:rsid w:val="00364E3B"/>
    <w:rsid w:val="003650CF"/>
    <w:rsid w:val="00367F88"/>
    <w:rsid w:val="0037235E"/>
    <w:rsid w:val="00374BDB"/>
    <w:rsid w:val="00380A4D"/>
    <w:rsid w:val="003812C2"/>
    <w:rsid w:val="00385587"/>
    <w:rsid w:val="00386512"/>
    <w:rsid w:val="00391729"/>
    <w:rsid w:val="00391946"/>
    <w:rsid w:val="003937AF"/>
    <w:rsid w:val="00394C5A"/>
    <w:rsid w:val="00396E83"/>
    <w:rsid w:val="003B4FF9"/>
    <w:rsid w:val="003C34B4"/>
    <w:rsid w:val="003C3D97"/>
    <w:rsid w:val="003D63D7"/>
    <w:rsid w:val="003E08DC"/>
    <w:rsid w:val="003F4F53"/>
    <w:rsid w:val="00400CC7"/>
    <w:rsid w:val="00402452"/>
    <w:rsid w:val="00402D3E"/>
    <w:rsid w:val="00403410"/>
    <w:rsid w:val="004108B6"/>
    <w:rsid w:val="00415A3C"/>
    <w:rsid w:val="00415BB3"/>
    <w:rsid w:val="004170DF"/>
    <w:rsid w:val="00420A84"/>
    <w:rsid w:val="004233F1"/>
    <w:rsid w:val="004254AD"/>
    <w:rsid w:val="00426604"/>
    <w:rsid w:val="004344F3"/>
    <w:rsid w:val="004354C0"/>
    <w:rsid w:val="004356F9"/>
    <w:rsid w:val="00450066"/>
    <w:rsid w:val="00450C28"/>
    <w:rsid w:val="00455E6D"/>
    <w:rsid w:val="00462702"/>
    <w:rsid w:val="00464FD3"/>
    <w:rsid w:val="00473F0D"/>
    <w:rsid w:val="00481165"/>
    <w:rsid w:val="0048212A"/>
    <w:rsid w:val="0048428B"/>
    <w:rsid w:val="00485B89"/>
    <w:rsid w:val="00491666"/>
    <w:rsid w:val="004918B9"/>
    <w:rsid w:val="00491912"/>
    <w:rsid w:val="004940B5"/>
    <w:rsid w:val="004963C7"/>
    <w:rsid w:val="004A18E8"/>
    <w:rsid w:val="004A2C13"/>
    <w:rsid w:val="004A45BA"/>
    <w:rsid w:val="004B342E"/>
    <w:rsid w:val="004B4F14"/>
    <w:rsid w:val="004B63C4"/>
    <w:rsid w:val="004B6DF6"/>
    <w:rsid w:val="004C2C7C"/>
    <w:rsid w:val="004D224A"/>
    <w:rsid w:val="004D492A"/>
    <w:rsid w:val="004D613D"/>
    <w:rsid w:val="004E666D"/>
    <w:rsid w:val="004E7FD9"/>
    <w:rsid w:val="004F0992"/>
    <w:rsid w:val="004F0D6B"/>
    <w:rsid w:val="004F31F8"/>
    <w:rsid w:val="004F605A"/>
    <w:rsid w:val="004F60E1"/>
    <w:rsid w:val="004F7313"/>
    <w:rsid w:val="00502088"/>
    <w:rsid w:val="0050280B"/>
    <w:rsid w:val="005043BE"/>
    <w:rsid w:val="005056F7"/>
    <w:rsid w:val="00513C33"/>
    <w:rsid w:val="00514011"/>
    <w:rsid w:val="0051689D"/>
    <w:rsid w:val="00523D9F"/>
    <w:rsid w:val="00525020"/>
    <w:rsid w:val="00531F77"/>
    <w:rsid w:val="00534474"/>
    <w:rsid w:val="00536F61"/>
    <w:rsid w:val="0054080F"/>
    <w:rsid w:val="00543120"/>
    <w:rsid w:val="00543FFF"/>
    <w:rsid w:val="00552366"/>
    <w:rsid w:val="005558E2"/>
    <w:rsid w:val="00555EE4"/>
    <w:rsid w:val="0056132F"/>
    <w:rsid w:val="00562A51"/>
    <w:rsid w:val="00565357"/>
    <w:rsid w:val="005661D6"/>
    <w:rsid w:val="005777BC"/>
    <w:rsid w:val="00580400"/>
    <w:rsid w:val="00595358"/>
    <w:rsid w:val="00595359"/>
    <w:rsid w:val="00595736"/>
    <w:rsid w:val="005A104B"/>
    <w:rsid w:val="005A29D1"/>
    <w:rsid w:val="005A4C88"/>
    <w:rsid w:val="005B09FC"/>
    <w:rsid w:val="005B3057"/>
    <w:rsid w:val="005B571A"/>
    <w:rsid w:val="005B6065"/>
    <w:rsid w:val="005C2C0B"/>
    <w:rsid w:val="005D3084"/>
    <w:rsid w:val="005D4446"/>
    <w:rsid w:val="005E21C3"/>
    <w:rsid w:val="005E2907"/>
    <w:rsid w:val="005E4359"/>
    <w:rsid w:val="005E485F"/>
    <w:rsid w:val="005E5948"/>
    <w:rsid w:val="005E67E2"/>
    <w:rsid w:val="005E78D3"/>
    <w:rsid w:val="005E791A"/>
    <w:rsid w:val="005F44FB"/>
    <w:rsid w:val="005F5B43"/>
    <w:rsid w:val="00600248"/>
    <w:rsid w:val="00600E94"/>
    <w:rsid w:val="006019CF"/>
    <w:rsid w:val="0060215E"/>
    <w:rsid w:val="00604785"/>
    <w:rsid w:val="0060651A"/>
    <w:rsid w:val="00607BAF"/>
    <w:rsid w:val="006122F0"/>
    <w:rsid w:val="006146C5"/>
    <w:rsid w:val="00620484"/>
    <w:rsid w:val="00624AF7"/>
    <w:rsid w:val="00624B0F"/>
    <w:rsid w:val="006300FF"/>
    <w:rsid w:val="00642A0C"/>
    <w:rsid w:val="00642C20"/>
    <w:rsid w:val="00643843"/>
    <w:rsid w:val="00650C6D"/>
    <w:rsid w:val="006536B6"/>
    <w:rsid w:val="0067049D"/>
    <w:rsid w:val="0067064C"/>
    <w:rsid w:val="00672C19"/>
    <w:rsid w:val="00674E78"/>
    <w:rsid w:val="00675A13"/>
    <w:rsid w:val="00683529"/>
    <w:rsid w:val="00683C35"/>
    <w:rsid w:val="006841FC"/>
    <w:rsid w:val="006A180C"/>
    <w:rsid w:val="006A3185"/>
    <w:rsid w:val="006A6B46"/>
    <w:rsid w:val="006B0CAA"/>
    <w:rsid w:val="006B24C9"/>
    <w:rsid w:val="006C190B"/>
    <w:rsid w:val="006C2CCA"/>
    <w:rsid w:val="006D1527"/>
    <w:rsid w:val="006D5813"/>
    <w:rsid w:val="006D753A"/>
    <w:rsid w:val="006F1281"/>
    <w:rsid w:val="006F1572"/>
    <w:rsid w:val="006F2AEE"/>
    <w:rsid w:val="006F51DC"/>
    <w:rsid w:val="006F5CE5"/>
    <w:rsid w:val="00701638"/>
    <w:rsid w:val="0070175A"/>
    <w:rsid w:val="00710B2A"/>
    <w:rsid w:val="00712F7A"/>
    <w:rsid w:val="00713EF8"/>
    <w:rsid w:val="007159DB"/>
    <w:rsid w:val="00717D40"/>
    <w:rsid w:val="00724A35"/>
    <w:rsid w:val="00727C14"/>
    <w:rsid w:val="0073713F"/>
    <w:rsid w:val="00737C44"/>
    <w:rsid w:val="00744AA2"/>
    <w:rsid w:val="00745A54"/>
    <w:rsid w:val="00745FC7"/>
    <w:rsid w:val="00752CA3"/>
    <w:rsid w:val="007547E6"/>
    <w:rsid w:val="00754CE7"/>
    <w:rsid w:val="00763D3D"/>
    <w:rsid w:val="0076497C"/>
    <w:rsid w:val="007727FA"/>
    <w:rsid w:val="00774D5B"/>
    <w:rsid w:val="00782BD1"/>
    <w:rsid w:val="00792878"/>
    <w:rsid w:val="0079511C"/>
    <w:rsid w:val="007A2CA3"/>
    <w:rsid w:val="007B22A6"/>
    <w:rsid w:val="007B24A9"/>
    <w:rsid w:val="007B67E5"/>
    <w:rsid w:val="007C44A3"/>
    <w:rsid w:val="007C53BC"/>
    <w:rsid w:val="007D157B"/>
    <w:rsid w:val="007F47B1"/>
    <w:rsid w:val="007F5B58"/>
    <w:rsid w:val="007F5E29"/>
    <w:rsid w:val="007F64D6"/>
    <w:rsid w:val="007F7934"/>
    <w:rsid w:val="007F796C"/>
    <w:rsid w:val="008022F7"/>
    <w:rsid w:val="0080275D"/>
    <w:rsid w:val="00807A85"/>
    <w:rsid w:val="008104BD"/>
    <w:rsid w:val="008142D1"/>
    <w:rsid w:val="00814A42"/>
    <w:rsid w:val="008159DF"/>
    <w:rsid w:val="00823E03"/>
    <w:rsid w:val="00826437"/>
    <w:rsid w:val="00831D37"/>
    <w:rsid w:val="008344D6"/>
    <w:rsid w:val="008346F5"/>
    <w:rsid w:val="0083479B"/>
    <w:rsid w:val="00841432"/>
    <w:rsid w:val="00842BCB"/>
    <w:rsid w:val="00847DD8"/>
    <w:rsid w:val="008521C0"/>
    <w:rsid w:val="00852E2E"/>
    <w:rsid w:val="00856F35"/>
    <w:rsid w:val="00862B4E"/>
    <w:rsid w:val="00873FF5"/>
    <w:rsid w:val="00874203"/>
    <w:rsid w:val="0087492C"/>
    <w:rsid w:val="008775B3"/>
    <w:rsid w:val="00880A72"/>
    <w:rsid w:val="00881939"/>
    <w:rsid w:val="008872DC"/>
    <w:rsid w:val="008A0583"/>
    <w:rsid w:val="008A1286"/>
    <w:rsid w:val="008A1B00"/>
    <w:rsid w:val="008A4B19"/>
    <w:rsid w:val="008A624C"/>
    <w:rsid w:val="008A7622"/>
    <w:rsid w:val="008B1898"/>
    <w:rsid w:val="008B6C93"/>
    <w:rsid w:val="008C3232"/>
    <w:rsid w:val="008C73BB"/>
    <w:rsid w:val="008D36E1"/>
    <w:rsid w:val="008D3DE3"/>
    <w:rsid w:val="008E66E0"/>
    <w:rsid w:val="008F117C"/>
    <w:rsid w:val="008F2AAD"/>
    <w:rsid w:val="008F2B23"/>
    <w:rsid w:val="008F7607"/>
    <w:rsid w:val="008F7C22"/>
    <w:rsid w:val="00901D07"/>
    <w:rsid w:val="00906399"/>
    <w:rsid w:val="0091306F"/>
    <w:rsid w:val="00916D41"/>
    <w:rsid w:val="009201EF"/>
    <w:rsid w:val="00922BB7"/>
    <w:rsid w:val="00925957"/>
    <w:rsid w:val="00930910"/>
    <w:rsid w:val="00930C8D"/>
    <w:rsid w:val="00931A90"/>
    <w:rsid w:val="00933FF3"/>
    <w:rsid w:val="00941AAF"/>
    <w:rsid w:val="009422F9"/>
    <w:rsid w:val="0095061F"/>
    <w:rsid w:val="00954D79"/>
    <w:rsid w:val="00956E81"/>
    <w:rsid w:val="009639DC"/>
    <w:rsid w:val="009647D4"/>
    <w:rsid w:val="00967F9F"/>
    <w:rsid w:val="00970F06"/>
    <w:rsid w:val="009723E9"/>
    <w:rsid w:val="00975020"/>
    <w:rsid w:val="00975444"/>
    <w:rsid w:val="00977A17"/>
    <w:rsid w:val="00987E97"/>
    <w:rsid w:val="009A08AB"/>
    <w:rsid w:val="009B07C5"/>
    <w:rsid w:val="009B10F6"/>
    <w:rsid w:val="009B380E"/>
    <w:rsid w:val="009C24DC"/>
    <w:rsid w:val="009C5D5D"/>
    <w:rsid w:val="009D0BEB"/>
    <w:rsid w:val="009D0EDB"/>
    <w:rsid w:val="009D173F"/>
    <w:rsid w:val="009D70D1"/>
    <w:rsid w:val="009D770C"/>
    <w:rsid w:val="009E2BB9"/>
    <w:rsid w:val="009E4C1D"/>
    <w:rsid w:val="009E5C85"/>
    <w:rsid w:val="009F2945"/>
    <w:rsid w:val="009F3D75"/>
    <w:rsid w:val="009F4550"/>
    <w:rsid w:val="009F5206"/>
    <w:rsid w:val="009F54A6"/>
    <w:rsid w:val="00A111A5"/>
    <w:rsid w:val="00A1207A"/>
    <w:rsid w:val="00A12362"/>
    <w:rsid w:val="00A1402F"/>
    <w:rsid w:val="00A16C0F"/>
    <w:rsid w:val="00A17D84"/>
    <w:rsid w:val="00A26038"/>
    <w:rsid w:val="00A35F11"/>
    <w:rsid w:val="00A51012"/>
    <w:rsid w:val="00A53B17"/>
    <w:rsid w:val="00A564CC"/>
    <w:rsid w:val="00A56ABF"/>
    <w:rsid w:val="00A60737"/>
    <w:rsid w:val="00A638E4"/>
    <w:rsid w:val="00A6503E"/>
    <w:rsid w:val="00A65539"/>
    <w:rsid w:val="00A65679"/>
    <w:rsid w:val="00A65D8D"/>
    <w:rsid w:val="00A67199"/>
    <w:rsid w:val="00A67D5C"/>
    <w:rsid w:val="00A7022B"/>
    <w:rsid w:val="00A74A78"/>
    <w:rsid w:val="00A7563C"/>
    <w:rsid w:val="00A84392"/>
    <w:rsid w:val="00A906C0"/>
    <w:rsid w:val="00A909D4"/>
    <w:rsid w:val="00A92ADD"/>
    <w:rsid w:val="00A94E1D"/>
    <w:rsid w:val="00A9743E"/>
    <w:rsid w:val="00AA0BAA"/>
    <w:rsid w:val="00AB1937"/>
    <w:rsid w:val="00AC0E5D"/>
    <w:rsid w:val="00AC642C"/>
    <w:rsid w:val="00AC6695"/>
    <w:rsid w:val="00AC7508"/>
    <w:rsid w:val="00AD1E4D"/>
    <w:rsid w:val="00AD2338"/>
    <w:rsid w:val="00AD5836"/>
    <w:rsid w:val="00AD7DA1"/>
    <w:rsid w:val="00AE6614"/>
    <w:rsid w:val="00AF0616"/>
    <w:rsid w:val="00AF67C2"/>
    <w:rsid w:val="00B164E6"/>
    <w:rsid w:val="00B21709"/>
    <w:rsid w:val="00B23B18"/>
    <w:rsid w:val="00B24A69"/>
    <w:rsid w:val="00B26269"/>
    <w:rsid w:val="00B35EAB"/>
    <w:rsid w:val="00B42E1F"/>
    <w:rsid w:val="00B43E37"/>
    <w:rsid w:val="00B45F66"/>
    <w:rsid w:val="00B45FBB"/>
    <w:rsid w:val="00B47C10"/>
    <w:rsid w:val="00B51CB0"/>
    <w:rsid w:val="00B528F4"/>
    <w:rsid w:val="00B53BF7"/>
    <w:rsid w:val="00B6398A"/>
    <w:rsid w:val="00B75BF5"/>
    <w:rsid w:val="00B7644D"/>
    <w:rsid w:val="00B77ED9"/>
    <w:rsid w:val="00B80BA7"/>
    <w:rsid w:val="00B948C3"/>
    <w:rsid w:val="00B9674F"/>
    <w:rsid w:val="00B97482"/>
    <w:rsid w:val="00BA5AA7"/>
    <w:rsid w:val="00BA6AAA"/>
    <w:rsid w:val="00BB2283"/>
    <w:rsid w:val="00BC3FA3"/>
    <w:rsid w:val="00BD012C"/>
    <w:rsid w:val="00BD2888"/>
    <w:rsid w:val="00BD7109"/>
    <w:rsid w:val="00BE1184"/>
    <w:rsid w:val="00BE7415"/>
    <w:rsid w:val="00BF159E"/>
    <w:rsid w:val="00BF4BB7"/>
    <w:rsid w:val="00C04F70"/>
    <w:rsid w:val="00C10F68"/>
    <w:rsid w:val="00C14190"/>
    <w:rsid w:val="00C16500"/>
    <w:rsid w:val="00C1685B"/>
    <w:rsid w:val="00C278E0"/>
    <w:rsid w:val="00C34260"/>
    <w:rsid w:val="00C351A5"/>
    <w:rsid w:val="00C36BB6"/>
    <w:rsid w:val="00C44D7C"/>
    <w:rsid w:val="00C52C72"/>
    <w:rsid w:val="00C54F5A"/>
    <w:rsid w:val="00C618A7"/>
    <w:rsid w:val="00C650EB"/>
    <w:rsid w:val="00C65BE3"/>
    <w:rsid w:val="00C66567"/>
    <w:rsid w:val="00C70981"/>
    <w:rsid w:val="00C72C43"/>
    <w:rsid w:val="00C72CE7"/>
    <w:rsid w:val="00C7463C"/>
    <w:rsid w:val="00C807B3"/>
    <w:rsid w:val="00C80C74"/>
    <w:rsid w:val="00C842F4"/>
    <w:rsid w:val="00C85693"/>
    <w:rsid w:val="00C87835"/>
    <w:rsid w:val="00C9207E"/>
    <w:rsid w:val="00C92595"/>
    <w:rsid w:val="00C966EF"/>
    <w:rsid w:val="00C97043"/>
    <w:rsid w:val="00CA29A0"/>
    <w:rsid w:val="00CA2B92"/>
    <w:rsid w:val="00CA37DF"/>
    <w:rsid w:val="00CA647A"/>
    <w:rsid w:val="00CA7695"/>
    <w:rsid w:val="00CB08EF"/>
    <w:rsid w:val="00CB2144"/>
    <w:rsid w:val="00CC17C7"/>
    <w:rsid w:val="00CC2F02"/>
    <w:rsid w:val="00CC2F62"/>
    <w:rsid w:val="00CD54A0"/>
    <w:rsid w:val="00CE7200"/>
    <w:rsid w:val="00CE732D"/>
    <w:rsid w:val="00CE7993"/>
    <w:rsid w:val="00CF2E43"/>
    <w:rsid w:val="00CF585B"/>
    <w:rsid w:val="00CF5C92"/>
    <w:rsid w:val="00D061B0"/>
    <w:rsid w:val="00D10B0C"/>
    <w:rsid w:val="00D11C78"/>
    <w:rsid w:val="00D1495D"/>
    <w:rsid w:val="00D14E63"/>
    <w:rsid w:val="00D168DC"/>
    <w:rsid w:val="00D20377"/>
    <w:rsid w:val="00D22414"/>
    <w:rsid w:val="00D248F3"/>
    <w:rsid w:val="00D24BC1"/>
    <w:rsid w:val="00D24C1D"/>
    <w:rsid w:val="00D26FF6"/>
    <w:rsid w:val="00D30B1D"/>
    <w:rsid w:val="00D34E21"/>
    <w:rsid w:val="00D362A2"/>
    <w:rsid w:val="00D36F52"/>
    <w:rsid w:val="00D37D1D"/>
    <w:rsid w:val="00D40852"/>
    <w:rsid w:val="00D50CF1"/>
    <w:rsid w:val="00D51B22"/>
    <w:rsid w:val="00D53B7A"/>
    <w:rsid w:val="00D546BF"/>
    <w:rsid w:val="00D56253"/>
    <w:rsid w:val="00D57CFF"/>
    <w:rsid w:val="00D614EC"/>
    <w:rsid w:val="00D66149"/>
    <w:rsid w:val="00D703CE"/>
    <w:rsid w:val="00D7174C"/>
    <w:rsid w:val="00D755BD"/>
    <w:rsid w:val="00D75FF5"/>
    <w:rsid w:val="00D84648"/>
    <w:rsid w:val="00D873C5"/>
    <w:rsid w:val="00D9245E"/>
    <w:rsid w:val="00D92D69"/>
    <w:rsid w:val="00D94F5F"/>
    <w:rsid w:val="00DA1B4B"/>
    <w:rsid w:val="00DA3180"/>
    <w:rsid w:val="00DA3F46"/>
    <w:rsid w:val="00DB39EF"/>
    <w:rsid w:val="00DC079D"/>
    <w:rsid w:val="00DD0F02"/>
    <w:rsid w:val="00DD3A95"/>
    <w:rsid w:val="00DD4F1C"/>
    <w:rsid w:val="00DD7C7E"/>
    <w:rsid w:val="00DE3CDC"/>
    <w:rsid w:val="00DE4324"/>
    <w:rsid w:val="00DE5B33"/>
    <w:rsid w:val="00DE5B5F"/>
    <w:rsid w:val="00DF34E3"/>
    <w:rsid w:val="00E021CE"/>
    <w:rsid w:val="00E03E73"/>
    <w:rsid w:val="00E123D9"/>
    <w:rsid w:val="00E1555C"/>
    <w:rsid w:val="00E22C94"/>
    <w:rsid w:val="00E278F7"/>
    <w:rsid w:val="00E301BB"/>
    <w:rsid w:val="00E3152F"/>
    <w:rsid w:val="00E33E54"/>
    <w:rsid w:val="00E403D9"/>
    <w:rsid w:val="00E44522"/>
    <w:rsid w:val="00E466DE"/>
    <w:rsid w:val="00E474C4"/>
    <w:rsid w:val="00E51C85"/>
    <w:rsid w:val="00E5355F"/>
    <w:rsid w:val="00E55CF6"/>
    <w:rsid w:val="00E60386"/>
    <w:rsid w:val="00E60A4D"/>
    <w:rsid w:val="00E62F36"/>
    <w:rsid w:val="00E74F40"/>
    <w:rsid w:val="00E75466"/>
    <w:rsid w:val="00E8471F"/>
    <w:rsid w:val="00E93251"/>
    <w:rsid w:val="00E95140"/>
    <w:rsid w:val="00E97221"/>
    <w:rsid w:val="00EA08B3"/>
    <w:rsid w:val="00EA2BE1"/>
    <w:rsid w:val="00EA3FD6"/>
    <w:rsid w:val="00EA418F"/>
    <w:rsid w:val="00EA53C7"/>
    <w:rsid w:val="00EB1C24"/>
    <w:rsid w:val="00EC11F2"/>
    <w:rsid w:val="00EC12EB"/>
    <w:rsid w:val="00EC590F"/>
    <w:rsid w:val="00ED1325"/>
    <w:rsid w:val="00ED6A93"/>
    <w:rsid w:val="00ED7E47"/>
    <w:rsid w:val="00EE033A"/>
    <w:rsid w:val="00EE2DDA"/>
    <w:rsid w:val="00EE2F75"/>
    <w:rsid w:val="00EE325C"/>
    <w:rsid w:val="00EF0349"/>
    <w:rsid w:val="00EF28C3"/>
    <w:rsid w:val="00F0421B"/>
    <w:rsid w:val="00F07B5F"/>
    <w:rsid w:val="00F14218"/>
    <w:rsid w:val="00F20CFA"/>
    <w:rsid w:val="00F235D6"/>
    <w:rsid w:val="00F23BE2"/>
    <w:rsid w:val="00F3460F"/>
    <w:rsid w:val="00F35670"/>
    <w:rsid w:val="00F42F5F"/>
    <w:rsid w:val="00F50536"/>
    <w:rsid w:val="00F505CE"/>
    <w:rsid w:val="00F5233A"/>
    <w:rsid w:val="00F5238D"/>
    <w:rsid w:val="00F52E2C"/>
    <w:rsid w:val="00F600D6"/>
    <w:rsid w:val="00F61555"/>
    <w:rsid w:val="00F656D6"/>
    <w:rsid w:val="00F70F87"/>
    <w:rsid w:val="00F71502"/>
    <w:rsid w:val="00F73E95"/>
    <w:rsid w:val="00F73EEB"/>
    <w:rsid w:val="00F86700"/>
    <w:rsid w:val="00F9167A"/>
    <w:rsid w:val="00F92986"/>
    <w:rsid w:val="00FA129D"/>
    <w:rsid w:val="00FA17F3"/>
    <w:rsid w:val="00FA4337"/>
    <w:rsid w:val="00FA5062"/>
    <w:rsid w:val="00FC094F"/>
    <w:rsid w:val="00FC0C2B"/>
    <w:rsid w:val="00FC343F"/>
    <w:rsid w:val="00FD0494"/>
    <w:rsid w:val="00FD0EF3"/>
    <w:rsid w:val="00FD74B1"/>
    <w:rsid w:val="00FF3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60A4D"/>
    <w:pPr>
      <w:keepNext/>
      <w:keepLines/>
      <w:spacing w:before="480" w:after="240" w:line="240" w:lineRule="auto"/>
      <w:outlineLvl w:val="0"/>
    </w:pPr>
    <w:rPr>
      <w:rFonts w:ascii="Times New Roman" w:eastAsiaTheme="majorEastAsia" w:hAnsi="Times New Roman" w:cstheme="majorBidi"/>
      <w:b/>
      <w:bCs/>
      <w:color w:val="17365D" w:themeColor="text2" w:themeShade="BF"/>
      <w:sz w:val="32"/>
      <w:szCs w:val="28"/>
    </w:rPr>
  </w:style>
  <w:style w:type="paragraph" w:styleId="Nadpis2">
    <w:name w:val="heading 2"/>
    <w:basedOn w:val="Normln"/>
    <w:next w:val="Normln"/>
    <w:link w:val="Nadpis2Char"/>
    <w:uiPriority w:val="9"/>
    <w:unhideWhenUsed/>
    <w:qFormat/>
    <w:rsid w:val="00E60A4D"/>
    <w:pPr>
      <w:keepNext/>
      <w:keepLines/>
      <w:pageBreakBefore/>
      <w:spacing w:before="200"/>
      <w:outlineLvl w:val="1"/>
    </w:pPr>
    <w:rPr>
      <w:rFonts w:ascii="Times New Roman" w:eastAsiaTheme="majorEastAsia" w:hAnsi="Times New Roman" w:cstheme="majorBidi"/>
      <w:b/>
      <w:bCs/>
      <w:caps/>
      <w:color w:val="17365D" w:themeColor="text2" w:themeShade="BF"/>
      <w:sz w:val="24"/>
      <w:szCs w:val="26"/>
    </w:rPr>
  </w:style>
  <w:style w:type="paragraph" w:styleId="Nadpis3">
    <w:name w:val="heading 3"/>
    <w:basedOn w:val="Normln"/>
    <w:next w:val="Normln"/>
    <w:link w:val="Nadpis3Char"/>
    <w:uiPriority w:val="9"/>
    <w:unhideWhenUsed/>
    <w:qFormat/>
    <w:rsid w:val="00E60A4D"/>
    <w:pPr>
      <w:keepNext/>
      <w:keepLines/>
      <w:spacing w:before="200" w:after="240"/>
      <w:outlineLvl w:val="2"/>
    </w:pPr>
    <w:rPr>
      <w:rFonts w:ascii="Times New Roman" w:eastAsiaTheme="majorEastAsia" w:hAnsi="Times New Roman" w:cstheme="majorBidi"/>
      <w:b/>
      <w:bCs/>
      <w:caps/>
      <w:color w:val="17365D" w:themeColor="text2" w:themeShade="BF"/>
      <w:sz w:val="24"/>
    </w:rPr>
  </w:style>
  <w:style w:type="paragraph" w:styleId="Nadpis4">
    <w:name w:val="heading 4"/>
    <w:basedOn w:val="Normln"/>
    <w:next w:val="Normln"/>
    <w:link w:val="Nadpis4Char"/>
    <w:uiPriority w:val="9"/>
    <w:unhideWhenUsed/>
    <w:qFormat/>
    <w:rsid w:val="00E60A4D"/>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A4D"/>
    <w:rPr>
      <w:rFonts w:ascii="Times New Roman" w:eastAsiaTheme="majorEastAsia" w:hAnsi="Times New Roman" w:cstheme="majorBidi"/>
      <w:b/>
      <w:bCs/>
      <w:color w:val="17365D" w:themeColor="text2" w:themeShade="BF"/>
      <w:sz w:val="32"/>
      <w:szCs w:val="28"/>
    </w:rPr>
  </w:style>
  <w:style w:type="character" w:customStyle="1" w:styleId="Nadpis2Char">
    <w:name w:val="Nadpis 2 Char"/>
    <w:basedOn w:val="Standardnpsmoodstavce"/>
    <w:link w:val="Nadpis2"/>
    <w:uiPriority w:val="9"/>
    <w:rsid w:val="00E60A4D"/>
    <w:rPr>
      <w:rFonts w:ascii="Times New Roman" w:eastAsiaTheme="majorEastAsia" w:hAnsi="Times New Roman" w:cstheme="majorBidi"/>
      <w:b/>
      <w:bCs/>
      <w:caps/>
      <w:color w:val="17365D" w:themeColor="text2" w:themeShade="BF"/>
      <w:sz w:val="24"/>
      <w:szCs w:val="26"/>
    </w:rPr>
  </w:style>
  <w:style w:type="character" w:customStyle="1" w:styleId="Nadpis3Char">
    <w:name w:val="Nadpis 3 Char"/>
    <w:basedOn w:val="Standardnpsmoodstavce"/>
    <w:link w:val="Nadpis3"/>
    <w:uiPriority w:val="9"/>
    <w:rsid w:val="00E60A4D"/>
    <w:rPr>
      <w:rFonts w:ascii="Times New Roman" w:eastAsiaTheme="majorEastAsia" w:hAnsi="Times New Roman" w:cstheme="majorBidi"/>
      <w:b/>
      <w:bCs/>
      <w:caps/>
      <w:color w:val="17365D" w:themeColor="text2" w:themeShade="BF"/>
      <w:sz w:val="24"/>
    </w:rPr>
  </w:style>
  <w:style w:type="paragraph" w:styleId="Odstavecseseznamem">
    <w:name w:val="List Paragraph"/>
    <w:basedOn w:val="Normln"/>
    <w:uiPriority w:val="34"/>
    <w:qFormat/>
    <w:rsid w:val="009201EF"/>
    <w:pPr>
      <w:ind w:left="720"/>
      <w:contextualSpacing/>
    </w:pPr>
  </w:style>
  <w:style w:type="character" w:styleId="Hypertextovodkaz">
    <w:name w:val="Hyperlink"/>
    <w:basedOn w:val="Standardnpsmoodstavce"/>
    <w:uiPriority w:val="99"/>
    <w:unhideWhenUsed/>
    <w:rsid w:val="009201EF"/>
    <w:rPr>
      <w:color w:val="0000FF" w:themeColor="hyperlink"/>
      <w:u w:val="single"/>
    </w:rPr>
  </w:style>
  <w:style w:type="paragraph" w:styleId="Bezmezer">
    <w:name w:val="No Spacing"/>
    <w:qFormat/>
    <w:rsid w:val="009201E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20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1EF"/>
    <w:rPr>
      <w:rFonts w:ascii="Tahoma" w:hAnsi="Tahoma" w:cs="Tahoma"/>
      <w:sz w:val="16"/>
      <w:szCs w:val="16"/>
    </w:rPr>
  </w:style>
  <w:style w:type="character" w:customStyle="1" w:styleId="highlight">
    <w:name w:val="highlight"/>
    <w:basedOn w:val="Standardnpsmoodstavce"/>
    <w:rsid w:val="009201EF"/>
  </w:style>
  <w:style w:type="paragraph" w:styleId="Obsah1">
    <w:name w:val="toc 1"/>
    <w:basedOn w:val="Normln"/>
    <w:next w:val="Normln"/>
    <w:autoRedefine/>
    <w:uiPriority w:val="39"/>
    <w:unhideWhenUsed/>
    <w:rsid w:val="00873FF5"/>
    <w:pPr>
      <w:tabs>
        <w:tab w:val="right" w:leader="dot" w:pos="9174"/>
      </w:tabs>
      <w:spacing w:after="0" w:line="240" w:lineRule="auto"/>
      <w:jc w:val="both"/>
    </w:pPr>
    <w:rPr>
      <w:rFonts w:ascii="Times New Roman" w:hAnsi="Times New Roman"/>
      <w:noProof/>
      <w:color w:val="17365D" w:themeColor="text2" w:themeShade="BF"/>
    </w:rPr>
  </w:style>
  <w:style w:type="paragraph" w:styleId="Obsah2">
    <w:name w:val="toc 2"/>
    <w:basedOn w:val="Normln"/>
    <w:next w:val="Normln"/>
    <w:autoRedefine/>
    <w:uiPriority w:val="39"/>
    <w:unhideWhenUsed/>
    <w:rsid w:val="00473F0D"/>
    <w:pPr>
      <w:spacing w:after="100" w:line="240" w:lineRule="auto"/>
    </w:pPr>
    <w:rPr>
      <w:rFonts w:ascii="Times New Roman" w:hAnsi="Times New Roman"/>
    </w:rPr>
  </w:style>
  <w:style w:type="paragraph" w:styleId="Obsah3">
    <w:name w:val="toc 3"/>
    <w:basedOn w:val="Normln"/>
    <w:next w:val="Normln"/>
    <w:autoRedefine/>
    <w:uiPriority w:val="39"/>
    <w:unhideWhenUsed/>
    <w:rsid w:val="00473F0D"/>
    <w:pPr>
      <w:tabs>
        <w:tab w:val="right" w:leader="dot" w:pos="9062"/>
      </w:tabs>
      <w:spacing w:after="100" w:line="240" w:lineRule="auto"/>
    </w:pPr>
    <w:rPr>
      <w:rFonts w:ascii="Times New Roman" w:hAnsi="Times New Roman"/>
    </w:rPr>
  </w:style>
  <w:style w:type="table" w:styleId="Mkatabulky">
    <w:name w:val="Table Grid"/>
    <w:basedOn w:val="Normlntabulka"/>
    <w:uiPriority w:val="59"/>
    <w:rsid w:val="009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01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EF"/>
  </w:style>
  <w:style w:type="paragraph" w:styleId="Zpat">
    <w:name w:val="footer"/>
    <w:basedOn w:val="Normln"/>
    <w:link w:val="ZpatChar"/>
    <w:uiPriority w:val="99"/>
    <w:unhideWhenUsed/>
    <w:rsid w:val="009201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EF"/>
  </w:style>
  <w:style w:type="paragraph" w:styleId="Normlnweb">
    <w:name w:val="Normal (Web)"/>
    <w:basedOn w:val="Normln"/>
    <w:uiPriority w:val="99"/>
    <w:semiHidden/>
    <w:unhideWhenUsed/>
    <w:rsid w:val="003937A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937AF"/>
    <w:rPr>
      <w:b/>
      <w:bCs/>
    </w:rPr>
  </w:style>
  <w:style w:type="character" w:customStyle="1" w:styleId="Nadpis4Char">
    <w:name w:val="Nadpis 4 Char"/>
    <w:basedOn w:val="Standardnpsmoodstavce"/>
    <w:link w:val="Nadpis4"/>
    <w:uiPriority w:val="9"/>
    <w:rsid w:val="00E60A4D"/>
    <w:rPr>
      <w:rFonts w:asciiTheme="majorHAnsi" w:eastAsiaTheme="majorEastAsia" w:hAnsiTheme="majorHAnsi" w:cstheme="majorBidi"/>
      <w:b/>
      <w:bCs/>
      <w:i/>
      <w:iCs/>
      <w:color w:val="17365D" w:themeColor="tex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60A4D"/>
    <w:pPr>
      <w:keepNext/>
      <w:keepLines/>
      <w:spacing w:before="480" w:after="240" w:line="240" w:lineRule="auto"/>
      <w:outlineLvl w:val="0"/>
    </w:pPr>
    <w:rPr>
      <w:rFonts w:ascii="Times New Roman" w:eastAsiaTheme="majorEastAsia" w:hAnsi="Times New Roman" w:cstheme="majorBidi"/>
      <w:b/>
      <w:bCs/>
      <w:color w:val="17365D" w:themeColor="text2" w:themeShade="BF"/>
      <w:sz w:val="32"/>
      <w:szCs w:val="28"/>
    </w:rPr>
  </w:style>
  <w:style w:type="paragraph" w:styleId="Nadpis2">
    <w:name w:val="heading 2"/>
    <w:basedOn w:val="Normln"/>
    <w:next w:val="Normln"/>
    <w:link w:val="Nadpis2Char"/>
    <w:uiPriority w:val="9"/>
    <w:unhideWhenUsed/>
    <w:qFormat/>
    <w:rsid w:val="00E60A4D"/>
    <w:pPr>
      <w:keepNext/>
      <w:keepLines/>
      <w:pageBreakBefore/>
      <w:spacing w:before="200"/>
      <w:outlineLvl w:val="1"/>
    </w:pPr>
    <w:rPr>
      <w:rFonts w:ascii="Times New Roman" w:eastAsiaTheme="majorEastAsia" w:hAnsi="Times New Roman" w:cstheme="majorBidi"/>
      <w:b/>
      <w:bCs/>
      <w:caps/>
      <w:color w:val="17365D" w:themeColor="text2" w:themeShade="BF"/>
      <w:sz w:val="24"/>
      <w:szCs w:val="26"/>
    </w:rPr>
  </w:style>
  <w:style w:type="paragraph" w:styleId="Nadpis3">
    <w:name w:val="heading 3"/>
    <w:basedOn w:val="Normln"/>
    <w:next w:val="Normln"/>
    <w:link w:val="Nadpis3Char"/>
    <w:uiPriority w:val="9"/>
    <w:unhideWhenUsed/>
    <w:qFormat/>
    <w:rsid w:val="00E60A4D"/>
    <w:pPr>
      <w:keepNext/>
      <w:keepLines/>
      <w:spacing w:before="200" w:after="240"/>
      <w:outlineLvl w:val="2"/>
    </w:pPr>
    <w:rPr>
      <w:rFonts w:ascii="Times New Roman" w:eastAsiaTheme="majorEastAsia" w:hAnsi="Times New Roman" w:cstheme="majorBidi"/>
      <w:b/>
      <w:bCs/>
      <w:caps/>
      <w:color w:val="17365D" w:themeColor="text2" w:themeShade="BF"/>
      <w:sz w:val="24"/>
    </w:rPr>
  </w:style>
  <w:style w:type="paragraph" w:styleId="Nadpis4">
    <w:name w:val="heading 4"/>
    <w:basedOn w:val="Normln"/>
    <w:next w:val="Normln"/>
    <w:link w:val="Nadpis4Char"/>
    <w:uiPriority w:val="9"/>
    <w:unhideWhenUsed/>
    <w:qFormat/>
    <w:rsid w:val="00E60A4D"/>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A4D"/>
    <w:rPr>
      <w:rFonts w:ascii="Times New Roman" w:eastAsiaTheme="majorEastAsia" w:hAnsi="Times New Roman" w:cstheme="majorBidi"/>
      <w:b/>
      <w:bCs/>
      <w:color w:val="17365D" w:themeColor="text2" w:themeShade="BF"/>
      <w:sz w:val="32"/>
      <w:szCs w:val="28"/>
    </w:rPr>
  </w:style>
  <w:style w:type="character" w:customStyle="1" w:styleId="Nadpis2Char">
    <w:name w:val="Nadpis 2 Char"/>
    <w:basedOn w:val="Standardnpsmoodstavce"/>
    <w:link w:val="Nadpis2"/>
    <w:uiPriority w:val="9"/>
    <w:rsid w:val="00E60A4D"/>
    <w:rPr>
      <w:rFonts w:ascii="Times New Roman" w:eastAsiaTheme="majorEastAsia" w:hAnsi="Times New Roman" w:cstheme="majorBidi"/>
      <w:b/>
      <w:bCs/>
      <w:caps/>
      <w:color w:val="17365D" w:themeColor="text2" w:themeShade="BF"/>
      <w:sz w:val="24"/>
      <w:szCs w:val="26"/>
    </w:rPr>
  </w:style>
  <w:style w:type="character" w:customStyle="1" w:styleId="Nadpis3Char">
    <w:name w:val="Nadpis 3 Char"/>
    <w:basedOn w:val="Standardnpsmoodstavce"/>
    <w:link w:val="Nadpis3"/>
    <w:uiPriority w:val="9"/>
    <w:rsid w:val="00E60A4D"/>
    <w:rPr>
      <w:rFonts w:ascii="Times New Roman" w:eastAsiaTheme="majorEastAsia" w:hAnsi="Times New Roman" w:cstheme="majorBidi"/>
      <w:b/>
      <w:bCs/>
      <w:caps/>
      <w:color w:val="17365D" w:themeColor="text2" w:themeShade="BF"/>
      <w:sz w:val="24"/>
    </w:rPr>
  </w:style>
  <w:style w:type="paragraph" w:styleId="Odstavecseseznamem">
    <w:name w:val="List Paragraph"/>
    <w:basedOn w:val="Normln"/>
    <w:uiPriority w:val="34"/>
    <w:qFormat/>
    <w:rsid w:val="009201EF"/>
    <w:pPr>
      <w:ind w:left="720"/>
      <w:contextualSpacing/>
    </w:pPr>
  </w:style>
  <w:style w:type="character" w:styleId="Hypertextovodkaz">
    <w:name w:val="Hyperlink"/>
    <w:basedOn w:val="Standardnpsmoodstavce"/>
    <w:uiPriority w:val="99"/>
    <w:unhideWhenUsed/>
    <w:rsid w:val="009201EF"/>
    <w:rPr>
      <w:color w:val="0000FF" w:themeColor="hyperlink"/>
      <w:u w:val="single"/>
    </w:rPr>
  </w:style>
  <w:style w:type="paragraph" w:styleId="Bezmezer">
    <w:name w:val="No Spacing"/>
    <w:qFormat/>
    <w:rsid w:val="009201E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20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1EF"/>
    <w:rPr>
      <w:rFonts w:ascii="Tahoma" w:hAnsi="Tahoma" w:cs="Tahoma"/>
      <w:sz w:val="16"/>
      <w:szCs w:val="16"/>
    </w:rPr>
  </w:style>
  <w:style w:type="character" w:customStyle="1" w:styleId="highlight">
    <w:name w:val="highlight"/>
    <w:basedOn w:val="Standardnpsmoodstavce"/>
    <w:rsid w:val="009201EF"/>
  </w:style>
  <w:style w:type="paragraph" w:styleId="Obsah1">
    <w:name w:val="toc 1"/>
    <w:basedOn w:val="Normln"/>
    <w:next w:val="Normln"/>
    <w:autoRedefine/>
    <w:uiPriority w:val="39"/>
    <w:unhideWhenUsed/>
    <w:rsid w:val="00873FF5"/>
    <w:pPr>
      <w:tabs>
        <w:tab w:val="right" w:leader="dot" w:pos="9174"/>
      </w:tabs>
      <w:spacing w:after="0" w:line="240" w:lineRule="auto"/>
      <w:jc w:val="both"/>
    </w:pPr>
    <w:rPr>
      <w:rFonts w:ascii="Times New Roman" w:hAnsi="Times New Roman"/>
      <w:noProof/>
      <w:color w:val="17365D" w:themeColor="text2" w:themeShade="BF"/>
    </w:rPr>
  </w:style>
  <w:style w:type="paragraph" w:styleId="Obsah2">
    <w:name w:val="toc 2"/>
    <w:basedOn w:val="Normln"/>
    <w:next w:val="Normln"/>
    <w:autoRedefine/>
    <w:uiPriority w:val="39"/>
    <w:unhideWhenUsed/>
    <w:rsid w:val="00473F0D"/>
    <w:pPr>
      <w:spacing w:after="100" w:line="240" w:lineRule="auto"/>
    </w:pPr>
    <w:rPr>
      <w:rFonts w:ascii="Times New Roman" w:hAnsi="Times New Roman"/>
    </w:rPr>
  </w:style>
  <w:style w:type="paragraph" w:styleId="Obsah3">
    <w:name w:val="toc 3"/>
    <w:basedOn w:val="Normln"/>
    <w:next w:val="Normln"/>
    <w:autoRedefine/>
    <w:uiPriority w:val="39"/>
    <w:unhideWhenUsed/>
    <w:rsid w:val="00473F0D"/>
    <w:pPr>
      <w:tabs>
        <w:tab w:val="right" w:leader="dot" w:pos="9062"/>
      </w:tabs>
      <w:spacing w:after="100" w:line="240" w:lineRule="auto"/>
    </w:pPr>
    <w:rPr>
      <w:rFonts w:ascii="Times New Roman" w:hAnsi="Times New Roman"/>
    </w:rPr>
  </w:style>
  <w:style w:type="table" w:styleId="Mkatabulky">
    <w:name w:val="Table Grid"/>
    <w:basedOn w:val="Normlntabulka"/>
    <w:uiPriority w:val="59"/>
    <w:rsid w:val="009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01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EF"/>
  </w:style>
  <w:style w:type="paragraph" w:styleId="Zpat">
    <w:name w:val="footer"/>
    <w:basedOn w:val="Normln"/>
    <w:link w:val="ZpatChar"/>
    <w:uiPriority w:val="99"/>
    <w:unhideWhenUsed/>
    <w:rsid w:val="009201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EF"/>
  </w:style>
  <w:style w:type="paragraph" w:styleId="Normlnweb">
    <w:name w:val="Normal (Web)"/>
    <w:basedOn w:val="Normln"/>
    <w:uiPriority w:val="99"/>
    <w:semiHidden/>
    <w:unhideWhenUsed/>
    <w:rsid w:val="003937A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3937AF"/>
    <w:rPr>
      <w:b/>
      <w:bCs/>
    </w:rPr>
  </w:style>
  <w:style w:type="character" w:customStyle="1" w:styleId="Nadpis4Char">
    <w:name w:val="Nadpis 4 Char"/>
    <w:basedOn w:val="Standardnpsmoodstavce"/>
    <w:link w:val="Nadpis4"/>
    <w:uiPriority w:val="9"/>
    <w:rsid w:val="00E60A4D"/>
    <w:rPr>
      <w:rFonts w:asciiTheme="majorHAnsi" w:eastAsiaTheme="majorEastAsia" w:hAnsiTheme="majorHAnsi" w:cstheme="majorBidi"/>
      <w:b/>
      <w:bCs/>
      <w:i/>
      <w:iCs/>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192">
      <w:bodyDiv w:val="1"/>
      <w:marLeft w:val="0"/>
      <w:marRight w:val="0"/>
      <w:marTop w:val="0"/>
      <w:marBottom w:val="0"/>
      <w:divBdr>
        <w:top w:val="none" w:sz="0" w:space="0" w:color="auto"/>
        <w:left w:val="none" w:sz="0" w:space="0" w:color="auto"/>
        <w:bottom w:val="none" w:sz="0" w:space="0" w:color="auto"/>
        <w:right w:val="none" w:sz="0" w:space="0" w:color="auto"/>
      </w:divBdr>
    </w:div>
    <w:div w:id="181481849">
      <w:bodyDiv w:val="1"/>
      <w:marLeft w:val="0"/>
      <w:marRight w:val="0"/>
      <w:marTop w:val="0"/>
      <w:marBottom w:val="0"/>
      <w:divBdr>
        <w:top w:val="none" w:sz="0" w:space="0" w:color="auto"/>
        <w:left w:val="none" w:sz="0" w:space="0" w:color="auto"/>
        <w:bottom w:val="none" w:sz="0" w:space="0" w:color="auto"/>
        <w:right w:val="none" w:sz="0" w:space="0" w:color="auto"/>
      </w:divBdr>
    </w:div>
    <w:div w:id="238946384">
      <w:bodyDiv w:val="1"/>
      <w:marLeft w:val="0"/>
      <w:marRight w:val="0"/>
      <w:marTop w:val="0"/>
      <w:marBottom w:val="0"/>
      <w:divBdr>
        <w:top w:val="none" w:sz="0" w:space="0" w:color="auto"/>
        <w:left w:val="none" w:sz="0" w:space="0" w:color="auto"/>
        <w:bottom w:val="none" w:sz="0" w:space="0" w:color="auto"/>
        <w:right w:val="none" w:sz="0" w:space="0" w:color="auto"/>
      </w:divBdr>
    </w:div>
    <w:div w:id="294069958">
      <w:bodyDiv w:val="1"/>
      <w:marLeft w:val="0"/>
      <w:marRight w:val="0"/>
      <w:marTop w:val="0"/>
      <w:marBottom w:val="0"/>
      <w:divBdr>
        <w:top w:val="none" w:sz="0" w:space="0" w:color="auto"/>
        <w:left w:val="none" w:sz="0" w:space="0" w:color="auto"/>
        <w:bottom w:val="none" w:sz="0" w:space="0" w:color="auto"/>
        <w:right w:val="none" w:sz="0" w:space="0" w:color="auto"/>
      </w:divBdr>
    </w:div>
    <w:div w:id="325518261">
      <w:bodyDiv w:val="1"/>
      <w:marLeft w:val="0"/>
      <w:marRight w:val="0"/>
      <w:marTop w:val="0"/>
      <w:marBottom w:val="0"/>
      <w:divBdr>
        <w:top w:val="none" w:sz="0" w:space="0" w:color="auto"/>
        <w:left w:val="none" w:sz="0" w:space="0" w:color="auto"/>
        <w:bottom w:val="none" w:sz="0" w:space="0" w:color="auto"/>
        <w:right w:val="none" w:sz="0" w:space="0" w:color="auto"/>
      </w:divBdr>
    </w:div>
    <w:div w:id="485173659">
      <w:bodyDiv w:val="1"/>
      <w:marLeft w:val="0"/>
      <w:marRight w:val="0"/>
      <w:marTop w:val="0"/>
      <w:marBottom w:val="0"/>
      <w:divBdr>
        <w:top w:val="none" w:sz="0" w:space="0" w:color="auto"/>
        <w:left w:val="none" w:sz="0" w:space="0" w:color="auto"/>
        <w:bottom w:val="none" w:sz="0" w:space="0" w:color="auto"/>
        <w:right w:val="none" w:sz="0" w:space="0" w:color="auto"/>
      </w:divBdr>
    </w:div>
    <w:div w:id="503907431">
      <w:bodyDiv w:val="1"/>
      <w:marLeft w:val="0"/>
      <w:marRight w:val="0"/>
      <w:marTop w:val="0"/>
      <w:marBottom w:val="0"/>
      <w:divBdr>
        <w:top w:val="none" w:sz="0" w:space="0" w:color="auto"/>
        <w:left w:val="none" w:sz="0" w:space="0" w:color="auto"/>
        <w:bottom w:val="none" w:sz="0" w:space="0" w:color="auto"/>
        <w:right w:val="none" w:sz="0" w:space="0" w:color="auto"/>
      </w:divBdr>
      <w:divsChild>
        <w:div w:id="1159687433">
          <w:marLeft w:val="0"/>
          <w:marRight w:val="0"/>
          <w:marTop w:val="0"/>
          <w:marBottom w:val="0"/>
          <w:divBdr>
            <w:top w:val="none" w:sz="0" w:space="0" w:color="auto"/>
            <w:left w:val="none" w:sz="0" w:space="0" w:color="auto"/>
            <w:bottom w:val="none" w:sz="0" w:space="0" w:color="auto"/>
            <w:right w:val="none" w:sz="0" w:space="0" w:color="auto"/>
          </w:divBdr>
          <w:divsChild>
            <w:div w:id="80103964">
              <w:marLeft w:val="0"/>
              <w:marRight w:val="0"/>
              <w:marTop w:val="0"/>
              <w:marBottom w:val="0"/>
              <w:divBdr>
                <w:top w:val="none" w:sz="0" w:space="0" w:color="auto"/>
                <w:left w:val="none" w:sz="0" w:space="0" w:color="auto"/>
                <w:bottom w:val="none" w:sz="0" w:space="0" w:color="auto"/>
                <w:right w:val="none" w:sz="0" w:space="0" w:color="auto"/>
              </w:divBdr>
              <w:divsChild>
                <w:div w:id="140773847">
                  <w:marLeft w:val="0"/>
                  <w:marRight w:val="0"/>
                  <w:marTop w:val="0"/>
                  <w:marBottom w:val="0"/>
                  <w:divBdr>
                    <w:top w:val="none" w:sz="0" w:space="0" w:color="auto"/>
                    <w:left w:val="none" w:sz="0" w:space="0" w:color="auto"/>
                    <w:bottom w:val="none" w:sz="0" w:space="0" w:color="auto"/>
                    <w:right w:val="none" w:sz="0" w:space="0" w:color="auto"/>
                  </w:divBdr>
                  <w:divsChild>
                    <w:div w:id="1919750098">
                      <w:marLeft w:val="0"/>
                      <w:marRight w:val="0"/>
                      <w:marTop w:val="0"/>
                      <w:marBottom w:val="0"/>
                      <w:divBdr>
                        <w:top w:val="none" w:sz="0" w:space="0" w:color="auto"/>
                        <w:left w:val="none" w:sz="0" w:space="0" w:color="auto"/>
                        <w:bottom w:val="none" w:sz="0" w:space="0" w:color="auto"/>
                        <w:right w:val="none" w:sz="0" w:space="0" w:color="auto"/>
                      </w:divBdr>
                      <w:divsChild>
                        <w:div w:id="1997109323">
                          <w:marLeft w:val="0"/>
                          <w:marRight w:val="0"/>
                          <w:marTop w:val="0"/>
                          <w:marBottom w:val="0"/>
                          <w:divBdr>
                            <w:top w:val="none" w:sz="0" w:space="0" w:color="auto"/>
                            <w:left w:val="none" w:sz="0" w:space="0" w:color="auto"/>
                            <w:bottom w:val="none" w:sz="0" w:space="0" w:color="auto"/>
                            <w:right w:val="none" w:sz="0" w:space="0" w:color="auto"/>
                          </w:divBdr>
                          <w:divsChild>
                            <w:div w:id="468517926">
                              <w:marLeft w:val="0"/>
                              <w:marRight w:val="0"/>
                              <w:marTop w:val="0"/>
                              <w:marBottom w:val="0"/>
                              <w:divBdr>
                                <w:top w:val="none" w:sz="0" w:space="0" w:color="auto"/>
                                <w:left w:val="none" w:sz="0" w:space="0" w:color="auto"/>
                                <w:bottom w:val="none" w:sz="0" w:space="0" w:color="auto"/>
                                <w:right w:val="none" w:sz="0" w:space="0" w:color="auto"/>
                              </w:divBdr>
                            </w:div>
                            <w:div w:id="8221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36733">
      <w:bodyDiv w:val="1"/>
      <w:marLeft w:val="0"/>
      <w:marRight w:val="0"/>
      <w:marTop w:val="0"/>
      <w:marBottom w:val="0"/>
      <w:divBdr>
        <w:top w:val="none" w:sz="0" w:space="0" w:color="auto"/>
        <w:left w:val="none" w:sz="0" w:space="0" w:color="auto"/>
        <w:bottom w:val="none" w:sz="0" w:space="0" w:color="auto"/>
        <w:right w:val="none" w:sz="0" w:space="0" w:color="auto"/>
      </w:divBdr>
    </w:div>
    <w:div w:id="584609665">
      <w:bodyDiv w:val="1"/>
      <w:marLeft w:val="0"/>
      <w:marRight w:val="0"/>
      <w:marTop w:val="0"/>
      <w:marBottom w:val="0"/>
      <w:divBdr>
        <w:top w:val="none" w:sz="0" w:space="0" w:color="auto"/>
        <w:left w:val="none" w:sz="0" w:space="0" w:color="auto"/>
        <w:bottom w:val="none" w:sz="0" w:space="0" w:color="auto"/>
        <w:right w:val="none" w:sz="0" w:space="0" w:color="auto"/>
      </w:divBdr>
    </w:div>
    <w:div w:id="640235035">
      <w:bodyDiv w:val="1"/>
      <w:marLeft w:val="0"/>
      <w:marRight w:val="0"/>
      <w:marTop w:val="0"/>
      <w:marBottom w:val="0"/>
      <w:divBdr>
        <w:top w:val="none" w:sz="0" w:space="0" w:color="auto"/>
        <w:left w:val="none" w:sz="0" w:space="0" w:color="auto"/>
        <w:bottom w:val="none" w:sz="0" w:space="0" w:color="auto"/>
        <w:right w:val="none" w:sz="0" w:space="0" w:color="auto"/>
      </w:divBdr>
    </w:div>
    <w:div w:id="683482008">
      <w:bodyDiv w:val="1"/>
      <w:marLeft w:val="0"/>
      <w:marRight w:val="0"/>
      <w:marTop w:val="0"/>
      <w:marBottom w:val="0"/>
      <w:divBdr>
        <w:top w:val="none" w:sz="0" w:space="0" w:color="auto"/>
        <w:left w:val="none" w:sz="0" w:space="0" w:color="auto"/>
        <w:bottom w:val="none" w:sz="0" w:space="0" w:color="auto"/>
        <w:right w:val="none" w:sz="0" w:space="0" w:color="auto"/>
      </w:divBdr>
    </w:div>
    <w:div w:id="710345085">
      <w:bodyDiv w:val="1"/>
      <w:marLeft w:val="0"/>
      <w:marRight w:val="0"/>
      <w:marTop w:val="0"/>
      <w:marBottom w:val="0"/>
      <w:divBdr>
        <w:top w:val="none" w:sz="0" w:space="0" w:color="auto"/>
        <w:left w:val="none" w:sz="0" w:space="0" w:color="auto"/>
        <w:bottom w:val="none" w:sz="0" w:space="0" w:color="auto"/>
        <w:right w:val="none" w:sz="0" w:space="0" w:color="auto"/>
      </w:divBdr>
    </w:div>
    <w:div w:id="711000736">
      <w:bodyDiv w:val="1"/>
      <w:marLeft w:val="0"/>
      <w:marRight w:val="0"/>
      <w:marTop w:val="0"/>
      <w:marBottom w:val="0"/>
      <w:divBdr>
        <w:top w:val="none" w:sz="0" w:space="0" w:color="auto"/>
        <w:left w:val="none" w:sz="0" w:space="0" w:color="auto"/>
        <w:bottom w:val="none" w:sz="0" w:space="0" w:color="auto"/>
        <w:right w:val="none" w:sz="0" w:space="0" w:color="auto"/>
      </w:divBdr>
    </w:div>
    <w:div w:id="743383100">
      <w:bodyDiv w:val="1"/>
      <w:marLeft w:val="0"/>
      <w:marRight w:val="0"/>
      <w:marTop w:val="0"/>
      <w:marBottom w:val="0"/>
      <w:divBdr>
        <w:top w:val="none" w:sz="0" w:space="0" w:color="auto"/>
        <w:left w:val="none" w:sz="0" w:space="0" w:color="auto"/>
        <w:bottom w:val="none" w:sz="0" w:space="0" w:color="auto"/>
        <w:right w:val="none" w:sz="0" w:space="0" w:color="auto"/>
      </w:divBdr>
    </w:div>
    <w:div w:id="781001764">
      <w:bodyDiv w:val="1"/>
      <w:marLeft w:val="0"/>
      <w:marRight w:val="0"/>
      <w:marTop w:val="0"/>
      <w:marBottom w:val="0"/>
      <w:divBdr>
        <w:top w:val="none" w:sz="0" w:space="0" w:color="auto"/>
        <w:left w:val="none" w:sz="0" w:space="0" w:color="auto"/>
        <w:bottom w:val="none" w:sz="0" w:space="0" w:color="auto"/>
        <w:right w:val="none" w:sz="0" w:space="0" w:color="auto"/>
      </w:divBdr>
    </w:div>
    <w:div w:id="831141093">
      <w:bodyDiv w:val="1"/>
      <w:marLeft w:val="0"/>
      <w:marRight w:val="0"/>
      <w:marTop w:val="0"/>
      <w:marBottom w:val="0"/>
      <w:divBdr>
        <w:top w:val="none" w:sz="0" w:space="0" w:color="auto"/>
        <w:left w:val="none" w:sz="0" w:space="0" w:color="auto"/>
        <w:bottom w:val="none" w:sz="0" w:space="0" w:color="auto"/>
        <w:right w:val="none" w:sz="0" w:space="0" w:color="auto"/>
      </w:divBdr>
    </w:div>
    <w:div w:id="914896734">
      <w:bodyDiv w:val="1"/>
      <w:marLeft w:val="0"/>
      <w:marRight w:val="0"/>
      <w:marTop w:val="0"/>
      <w:marBottom w:val="0"/>
      <w:divBdr>
        <w:top w:val="none" w:sz="0" w:space="0" w:color="auto"/>
        <w:left w:val="none" w:sz="0" w:space="0" w:color="auto"/>
        <w:bottom w:val="none" w:sz="0" w:space="0" w:color="auto"/>
        <w:right w:val="none" w:sz="0" w:space="0" w:color="auto"/>
      </w:divBdr>
    </w:div>
    <w:div w:id="966204164">
      <w:bodyDiv w:val="1"/>
      <w:marLeft w:val="0"/>
      <w:marRight w:val="0"/>
      <w:marTop w:val="0"/>
      <w:marBottom w:val="0"/>
      <w:divBdr>
        <w:top w:val="none" w:sz="0" w:space="0" w:color="auto"/>
        <w:left w:val="none" w:sz="0" w:space="0" w:color="auto"/>
        <w:bottom w:val="none" w:sz="0" w:space="0" w:color="auto"/>
        <w:right w:val="none" w:sz="0" w:space="0" w:color="auto"/>
      </w:divBdr>
    </w:div>
    <w:div w:id="966667107">
      <w:bodyDiv w:val="1"/>
      <w:marLeft w:val="0"/>
      <w:marRight w:val="0"/>
      <w:marTop w:val="0"/>
      <w:marBottom w:val="0"/>
      <w:divBdr>
        <w:top w:val="none" w:sz="0" w:space="0" w:color="auto"/>
        <w:left w:val="none" w:sz="0" w:space="0" w:color="auto"/>
        <w:bottom w:val="none" w:sz="0" w:space="0" w:color="auto"/>
        <w:right w:val="none" w:sz="0" w:space="0" w:color="auto"/>
      </w:divBdr>
    </w:div>
    <w:div w:id="1008171257">
      <w:bodyDiv w:val="1"/>
      <w:marLeft w:val="0"/>
      <w:marRight w:val="0"/>
      <w:marTop w:val="0"/>
      <w:marBottom w:val="0"/>
      <w:divBdr>
        <w:top w:val="none" w:sz="0" w:space="0" w:color="auto"/>
        <w:left w:val="none" w:sz="0" w:space="0" w:color="auto"/>
        <w:bottom w:val="none" w:sz="0" w:space="0" w:color="auto"/>
        <w:right w:val="none" w:sz="0" w:space="0" w:color="auto"/>
      </w:divBdr>
    </w:div>
    <w:div w:id="1150904722">
      <w:bodyDiv w:val="1"/>
      <w:marLeft w:val="0"/>
      <w:marRight w:val="0"/>
      <w:marTop w:val="0"/>
      <w:marBottom w:val="0"/>
      <w:divBdr>
        <w:top w:val="none" w:sz="0" w:space="0" w:color="auto"/>
        <w:left w:val="none" w:sz="0" w:space="0" w:color="auto"/>
        <w:bottom w:val="none" w:sz="0" w:space="0" w:color="auto"/>
        <w:right w:val="none" w:sz="0" w:space="0" w:color="auto"/>
      </w:divBdr>
    </w:div>
    <w:div w:id="1197698913">
      <w:bodyDiv w:val="1"/>
      <w:marLeft w:val="0"/>
      <w:marRight w:val="0"/>
      <w:marTop w:val="0"/>
      <w:marBottom w:val="0"/>
      <w:divBdr>
        <w:top w:val="none" w:sz="0" w:space="0" w:color="auto"/>
        <w:left w:val="none" w:sz="0" w:space="0" w:color="auto"/>
        <w:bottom w:val="none" w:sz="0" w:space="0" w:color="auto"/>
        <w:right w:val="none" w:sz="0" w:space="0" w:color="auto"/>
      </w:divBdr>
    </w:div>
    <w:div w:id="1379554290">
      <w:bodyDiv w:val="1"/>
      <w:marLeft w:val="0"/>
      <w:marRight w:val="0"/>
      <w:marTop w:val="0"/>
      <w:marBottom w:val="0"/>
      <w:divBdr>
        <w:top w:val="none" w:sz="0" w:space="0" w:color="auto"/>
        <w:left w:val="none" w:sz="0" w:space="0" w:color="auto"/>
        <w:bottom w:val="none" w:sz="0" w:space="0" w:color="auto"/>
        <w:right w:val="none" w:sz="0" w:space="0" w:color="auto"/>
      </w:divBdr>
    </w:div>
    <w:div w:id="1439256609">
      <w:bodyDiv w:val="1"/>
      <w:marLeft w:val="0"/>
      <w:marRight w:val="0"/>
      <w:marTop w:val="0"/>
      <w:marBottom w:val="0"/>
      <w:divBdr>
        <w:top w:val="none" w:sz="0" w:space="0" w:color="auto"/>
        <w:left w:val="none" w:sz="0" w:space="0" w:color="auto"/>
        <w:bottom w:val="none" w:sz="0" w:space="0" w:color="auto"/>
        <w:right w:val="none" w:sz="0" w:space="0" w:color="auto"/>
      </w:divBdr>
    </w:div>
    <w:div w:id="1440250658">
      <w:bodyDiv w:val="1"/>
      <w:marLeft w:val="0"/>
      <w:marRight w:val="0"/>
      <w:marTop w:val="0"/>
      <w:marBottom w:val="0"/>
      <w:divBdr>
        <w:top w:val="none" w:sz="0" w:space="0" w:color="auto"/>
        <w:left w:val="none" w:sz="0" w:space="0" w:color="auto"/>
        <w:bottom w:val="none" w:sz="0" w:space="0" w:color="auto"/>
        <w:right w:val="none" w:sz="0" w:space="0" w:color="auto"/>
      </w:divBdr>
    </w:div>
    <w:div w:id="1468232639">
      <w:bodyDiv w:val="1"/>
      <w:marLeft w:val="0"/>
      <w:marRight w:val="0"/>
      <w:marTop w:val="0"/>
      <w:marBottom w:val="0"/>
      <w:divBdr>
        <w:top w:val="none" w:sz="0" w:space="0" w:color="auto"/>
        <w:left w:val="none" w:sz="0" w:space="0" w:color="auto"/>
        <w:bottom w:val="none" w:sz="0" w:space="0" w:color="auto"/>
        <w:right w:val="none" w:sz="0" w:space="0" w:color="auto"/>
      </w:divBdr>
    </w:div>
    <w:div w:id="1518957923">
      <w:bodyDiv w:val="1"/>
      <w:marLeft w:val="0"/>
      <w:marRight w:val="0"/>
      <w:marTop w:val="0"/>
      <w:marBottom w:val="0"/>
      <w:divBdr>
        <w:top w:val="none" w:sz="0" w:space="0" w:color="auto"/>
        <w:left w:val="none" w:sz="0" w:space="0" w:color="auto"/>
        <w:bottom w:val="none" w:sz="0" w:space="0" w:color="auto"/>
        <w:right w:val="none" w:sz="0" w:space="0" w:color="auto"/>
      </w:divBdr>
    </w:div>
    <w:div w:id="1634552690">
      <w:bodyDiv w:val="1"/>
      <w:marLeft w:val="0"/>
      <w:marRight w:val="0"/>
      <w:marTop w:val="0"/>
      <w:marBottom w:val="0"/>
      <w:divBdr>
        <w:top w:val="none" w:sz="0" w:space="0" w:color="auto"/>
        <w:left w:val="none" w:sz="0" w:space="0" w:color="auto"/>
        <w:bottom w:val="none" w:sz="0" w:space="0" w:color="auto"/>
        <w:right w:val="none" w:sz="0" w:space="0" w:color="auto"/>
      </w:divBdr>
    </w:div>
    <w:div w:id="1752509530">
      <w:bodyDiv w:val="1"/>
      <w:marLeft w:val="0"/>
      <w:marRight w:val="0"/>
      <w:marTop w:val="0"/>
      <w:marBottom w:val="0"/>
      <w:divBdr>
        <w:top w:val="none" w:sz="0" w:space="0" w:color="auto"/>
        <w:left w:val="none" w:sz="0" w:space="0" w:color="auto"/>
        <w:bottom w:val="none" w:sz="0" w:space="0" w:color="auto"/>
        <w:right w:val="none" w:sz="0" w:space="0" w:color="auto"/>
      </w:divBdr>
    </w:div>
    <w:div w:id="1760710543">
      <w:bodyDiv w:val="1"/>
      <w:marLeft w:val="0"/>
      <w:marRight w:val="0"/>
      <w:marTop w:val="0"/>
      <w:marBottom w:val="0"/>
      <w:divBdr>
        <w:top w:val="none" w:sz="0" w:space="0" w:color="auto"/>
        <w:left w:val="none" w:sz="0" w:space="0" w:color="auto"/>
        <w:bottom w:val="none" w:sz="0" w:space="0" w:color="auto"/>
        <w:right w:val="none" w:sz="0" w:space="0" w:color="auto"/>
      </w:divBdr>
    </w:div>
    <w:div w:id="1772972982">
      <w:bodyDiv w:val="1"/>
      <w:marLeft w:val="0"/>
      <w:marRight w:val="0"/>
      <w:marTop w:val="0"/>
      <w:marBottom w:val="0"/>
      <w:divBdr>
        <w:top w:val="none" w:sz="0" w:space="0" w:color="auto"/>
        <w:left w:val="none" w:sz="0" w:space="0" w:color="auto"/>
        <w:bottom w:val="none" w:sz="0" w:space="0" w:color="auto"/>
        <w:right w:val="none" w:sz="0" w:space="0" w:color="auto"/>
      </w:divBdr>
    </w:div>
    <w:div w:id="1809394440">
      <w:bodyDiv w:val="1"/>
      <w:marLeft w:val="0"/>
      <w:marRight w:val="0"/>
      <w:marTop w:val="0"/>
      <w:marBottom w:val="0"/>
      <w:divBdr>
        <w:top w:val="none" w:sz="0" w:space="0" w:color="auto"/>
        <w:left w:val="none" w:sz="0" w:space="0" w:color="auto"/>
        <w:bottom w:val="none" w:sz="0" w:space="0" w:color="auto"/>
        <w:right w:val="none" w:sz="0" w:space="0" w:color="auto"/>
      </w:divBdr>
    </w:div>
    <w:div w:id="1846090677">
      <w:bodyDiv w:val="1"/>
      <w:marLeft w:val="0"/>
      <w:marRight w:val="0"/>
      <w:marTop w:val="0"/>
      <w:marBottom w:val="0"/>
      <w:divBdr>
        <w:top w:val="none" w:sz="0" w:space="0" w:color="auto"/>
        <w:left w:val="none" w:sz="0" w:space="0" w:color="auto"/>
        <w:bottom w:val="none" w:sz="0" w:space="0" w:color="auto"/>
        <w:right w:val="none" w:sz="0" w:space="0" w:color="auto"/>
      </w:divBdr>
    </w:div>
    <w:div w:id="1886600772">
      <w:bodyDiv w:val="1"/>
      <w:marLeft w:val="0"/>
      <w:marRight w:val="0"/>
      <w:marTop w:val="0"/>
      <w:marBottom w:val="0"/>
      <w:divBdr>
        <w:top w:val="none" w:sz="0" w:space="0" w:color="auto"/>
        <w:left w:val="none" w:sz="0" w:space="0" w:color="auto"/>
        <w:bottom w:val="none" w:sz="0" w:space="0" w:color="auto"/>
        <w:right w:val="none" w:sz="0" w:space="0" w:color="auto"/>
      </w:divBdr>
    </w:div>
    <w:div w:id="1944075127">
      <w:bodyDiv w:val="1"/>
      <w:marLeft w:val="0"/>
      <w:marRight w:val="0"/>
      <w:marTop w:val="0"/>
      <w:marBottom w:val="0"/>
      <w:divBdr>
        <w:top w:val="none" w:sz="0" w:space="0" w:color="auto"/>
        <w:left w:val="none" w:sz="0" w:space="0" w:color="auto"/>
        <w:bottom w:val="none" w:sz="0" w:space="0" w:color="auto"/>
        <w:right w:val="none" w:sz="0" w:space="0" w:color="auto"/>
      </w:divBdr>
    </w:div>
    <w:div w:id="1974016169">
      <w:bodyDiv w:val="1"/>
      <w:marLeft w:val="0"/>
      <w:marRight w:val="0"/>
      <w:marTop w:val="0"/>
      <w:marBottom w:val="0"/>
      <w:divBdr>
        <w:top w:val="none" w:sz="0" w:space="0" w:color="auto"/>
        <w:left w:val="none" w:sz="0" w:space="0" w:color="auto"/>
        <w:bottom w:val="none" w:sz="0" w:space="0" w:color="auto"/>
        <w:right w:val="none" w:sz="0" w:space="0" w:color="auto"/>
      </w:divBdr>
    </w:div>
    <w:div w:id="1990013084">
      <w:bodyDiv w:val="1"/>
      <w:marLeft w:val="0"/>
      <w:marRight w:val="0"/>
      <w:marTop w:val="0"/>
      <w:marBottom w:val="0"/>
      <w:divBdr>
        <w:top w:val="none" w:sz="0" w:space="0" w:color="auto"/>
        <w:left w:val="none" w:sz="0" w:space="0" w:color="auto"/>
        <w:bottom w:val="none" w:sz="0" w:space="0" w:color="auto"/>
        <w:right w:val="none" w:sz="0" w:space="0" w:color="auto"/>
      </w:divBdr>
    </w:div>
    <w:div w:id="2004238089">
      <w:bodyDiv w:val="1"/>
      <w:marLeft w:val="0"/>
      <w:marRight w:val="0"/>
      <w:marTop w:val="0"/>
      <w:marBottom w:val="0"/>
      <w:divBdr>
        <w:top w:val="none" w:sz="0" w:space="0" w:color="auto"/>
        <w:left w:val="none" w:sz="0" w:space="0" w:color="auto"/>
        <w:bottom w:val="none" w:sz="0" w:space="0" w:color="auto"/>
        <w:right w:val="none" w:sz="0" w:space="0" w:color="auto"/>
      </w:divBdr>
    </w:div>
    <w:div w:id="20553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obyvatelstvo!$P$2</c:f>
              <c:strCache>
                <c:ptCount val="1"/>
                <c:pt idx="0">
                  <c:v>Josefův Důl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obyvatelstvo!$P$3:$P$12</c:f>
              <c:numCache>
                <c:formatCode>General</c:formatCode>
                <c:ptCount val="10"/>
                <c:pt idx="0">
                  <c:v>100</c:v>
                </c:pt>
                <c:pt idx="1">
                  <c:v>98.063200815494383</c:v>
                </c:pt>
                <c:pt idx="2">
                  <c:v>98.128898128898129</c:v>
                </c:pt>
                <c:pt idx="3">
                  <c:v>96.822033898305079</c:v>
                </c:pt>
                <c:pt idx="4">
                  <c:v>99.23413566739606</c:v>
                </c:pt>
                <c:pt idx="5">
                  <c:v>99.338478500551261</c:v>
                </c:pt>
                <c:pt idx="6">
                  <c:v>98.446170921198672</c:v>
                </c:pt>
                <c:pt idx="7">
                  <c:v>100.11273957158964</c:v>
                </c:pt>
                <c:pt idx="8">
                  <c:v>98.761261261261254</c:v>
                </c:pt>
                <c:pt idx="9">
                  <c:v>100.1140250855188</c:v>
                </c:pt>
              </c:numCache>
            </c:numRef>
          </c:val>
          <c:smooth val="0"/>
        </c:ser>
        <c:ser>
          <c:idx val="1"/>
          <c:order val="1"/>
          <c:tx>
            <c:strRef>
              <c:f>obyvatelstvo!$R$2</c:f>
              <c:strCache>
                <c:ptCount val="1"/>
                <c:pt idx="0">
                  <c:v>SO ORP Jablonec nad Nisou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obyvatelstvo!$R$3:$R$12</c:f>
              <c:numCache>
                <c:formatCode>General</c:formatCode>
                <c:ptCount val="10"/>
                <c:pt idx="0">
                  <c:v>100</c:v>
                </c:pt>
                <c:pt idx="1">
                  <c:v>100.39122768349129</c:v>
                </c:pt>
                <c:pt idx="2">
                  <c:v>100.25980203816529</c:v>
                </c:pt>
                <c:pt idx="3">
                  <c:v>99.837588277158346</c:v>
                </c:pt>
                <c:pt idx="4">
                  <c:v>100.36373606287698</c:v>
                </c:pt>
                <c:pt idx="5">
                  <c:v>100.46804713252837</c:v>
                </c:pt>
                <c:pt idx="6">
                  <c:v>100.37885654207301</c:v>
                </c:pt>
                <c:pt idx="7">
                  <c:v>99.906094808126412</c:v>
                </c:pt>
                <c:pt idx="8">
                  <c:v>100.66699202863185</c:v>
                </c:pt>
                <c:pt idx="9">
                  <c:v>100.35732241614595</c:v>
                </c:pt>
              </c:numCache>
            </c:numRef>
          </c:val>
          <c:smooth val="0"/>
        </c:ser>
        <c:ser>
          <c:idx val="2"/>
          <c:order val="2"/>
          <c:tx>
            <c:strRef>
              <c:f>obyvatelstvo!$S$2</c:f>
              <c:strCache>
                <c:ptCount val="1"/>
                <c:pt idx="0">
                  <c:v>Josefův Důl (srovnání k roku 2008)</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obyvatelstvo!$S$3:$S$12</c:f>
              <c:numCache>
                <c:formatCode>General</c:formatCode>
                <c:ptCount val="10"/>
                <c:pt idx="0">
                  <c:v>100</c:v>
                </c:pt>
                <c:pt idx="1">
                  <c:v>98.063200815494383</c:v>
                </c:pt>
                <c:pt idx="2">
                  <c:v>96.228338430173295</c:v>
                </c:pt>
                <c:pt idx="3">
                  <c:v>93.17023445463812</c:v>
                </c:pt>
                <c:pt idx="4">
                  <c:v>92.45667686034659</c:v>
                </c:pt>
                <c:pt idx="5">
                  <c:v>91.845056065239547</c:v>
                </c:pt>
                <c:pt idx="6">
                  <c:v>90.417940876656473</c:v>
                </c:pt>
                <c:pt idx="7">
                  <c:v>90.519877675840974</c:v>
                </c:pt>
                <c:pt idx="8">
                  <c:v>89.398572884811415</c:v>
                </c:pt>
                <c:pt idx="9">
                  <c:v>89.500509683995915</c:v>
                </c:pt>
              </c:numCache>
            </c:numRef>
          </c:val>
          <c:smooth val="0"/>
        </c:ser>
        <c:dLbls>
          <c:showLegendKey val="0"/>
          <c:showVal val="0"/>
          <c:showCatName val="0"/>
          <c:showSerName val="0"/>
          <c:showPercent val="0"/>
          <c:showBubbleSize val="0"/>
        </c:dLbls>
        <c:marker val="1"/>
        <c:smooth val="0"/>
        <c:axId val="115585408"/>
        <c:axId val="115586944"/>
      </c:lineChart>
      <c:catAx>
        <c:axId val="115585408"/>
        <c:scaling>
          <c:orientation val="minMax"/>
        </c:scaling>
        <c:delete val="0"/>
        <c:axPos val="b"/>
        <c:numFmt formatCode="General" sourceLinked="1"/>
        <c:majorTickMark val="out"/>
        <c:minorTickMark val="none"/>
        <c:tickLblPos val="nextTo"/>
        <c:spPr>
          <a:noFill/>
          <a:ln w="9525" cap="flat" cmpd="sng" algn="ctr">
            <a:solidFill>
              <a:schemeClr val="tx2"/>
            </a:solidFill>
            <a:prstDash val="solid"/>
          </a:ln>
          <a:effectLst/>
        </c:spPr>
        <c:crossAx val="115586944"/>
        <c:crosses val="autoZero"/>
        <c:auto val="1"/>
        <c:lblAlgn val="ctr"/>
        <c:lblOffset val="100"/>
        <c:noMultiLvlLbl val="0"/>
      </c:catAx>
      <c:valAx>
        <c:axId val="115586944"/>
        <c:scaling>
          <c:orientation val="minMax"/>
          <c:max val="102"/>
          <c:min val="89"/>
        </c:scaling>
        <c:delete val="0"/>
        <c:axPos val="l"/>
        <c:majorGridlines>
          <c:spPr>
            <a:ln w="9525" cap="flat" cmpd="sng" algn="ctr">
              <a:solidFill>
                <a:schemeClr val="accent1"/>
              </a:solidFill>
              <a:prstDash val="solid"/>
            </a:ln>
            <a:effectLst/>
          </c:spPr>
        </c:majorGridlines>
        <c:title>
          <c:tx>
            <c:rich>
              <a:bodyPr rot="0" vert="horz"/>
              <a:lstStyle/>
              <a:p>
                <a:pPr>
                  <a:defRPr/>
                </a:pPr>
                <a:r>
                  <a:rPr lang="cs-CZ"/>
                  <a:t>%</a:t>
                </a:r>
              </a:p>
            </c:rich>
          </c:tx>
          <c:overlay val="0"/>
        </c:title>
        <c:numFmt formatCode="General" sourceLinked="1"/>
        <c:majorTickMark val="out"/>
        <c:minorTickMark val="none"/>
        <c:tickLblPos val="nextTo"/>
        <c:spPr>
          <a:noFill/>
          <a:ln w="9525" cap="flat" cmpd="sng" algn="ctr">
            <a:solidFill>
              <a:schemeClr val="tx2"/>
            </a:solidFill>
            <a:prstDash val="solid"/>
          </a:ln>
          <a:effectLst/>
        </c:spPr>
        <c:crossAx val="115585408"/>
        <c:crosses val="autoZero"/>
        <c:crossBetween val="between"/>
        <c:majorUnit val="1"/>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098904757397457E-2"/>
          <c:y val="8.7812668033167965E-2"/>
          <c:w val="0.89956594709070281"/>
          <c:h val="0.76807925707609148"/>
        </c:manualLayout>
      </c:layout>
      <c:lineChart>
        <c:grouping val="standard"/>
        <c:varyColors val="0"/>
        <c:ser>
          <c:idx val="0"/>
          <c:order val="0"/>
          <c:tx>
            <c:strRef>
              <c:f>obyvatelstvo!$I$12</c:f>
              <c:strCache>
                <c:ptCount val="1"/>
                <c:pt idx="0">
                  <c:v>Přírůstek celkový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obyvatelstvo!$I$13:$I$22</c:f>
              <c:numCache>
                <c:formatCode>General</c:formatCode>
                <c:ptCount val="10"/>
                <c:pt idx="0">
                  <c:v>7</c:v>
                </c:pt>
                <c:pt idx="1">
                  <c:v>-19</c:v>
                </c:pt>
                <c:pt idx="2">
                  <c:v>-18</c:v>
                </c:pt>
                <c:pt idx="3">
                  <c:v>0</c:v>
                </c:pt>
                <c:pt idx="4">
                  <c:v>-7</c:v>
                </c:pt>
                <c:pt idx="5">
                  <c:v>-6</c:v>
                </c:pt>
                <c:pt idx="6">
                  <c:v>-14</c:v>
                </c:pt>
                <c:pt idx="7">
                  <c:v>1</c:v>
                </c:pt>
                <c:pt idx="8">
                  <c:v>-11</c:v>
                </c:pt>
                <c:pt idx="9">
                  <c:v>1</c:v>
                </c:pt>
              </c:numCache>
            </c:numRef>
          </c:val>
          <c:smooth val="0"/>
        </c:ser>
        <c:ser>
          <c:idx val="1"/>
          <c:order val="1"/>
          <c:tx>
            <c:strRef>
              <c:f>obyvatelstvo!$H$12</c:f>
              <c:strCache>
                <c:ptCount val="1"/>
                <c:pt idx="0">
                  <c:v>Přírůstek migrační</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obyvatelstvo!$H$13:$H$22</c:f>
              <c:numCache>
                <c:formatCode>General</c:formatCode>
                <c:ptCount val="10"/>
                <c:pt idx="0">
                  <c:v>14</c:v>
                </c:pt>
                <c:pt idx="1">
                  <c:v>-14</c:v>
                </c:pt>
                <c:pt idx="2">
                  <c:v>-7</c:v>
                </c:pt>
                <c:pt idx="3">
                  <c:v>6</c:v>
                </c:pt>
                <c:pt idx="4">
                  <c:v>2</c:v>
                </c:pt>
                <c:pt idx="5">
                  <c:v>4</c:v>
                </c:pt>
                <c:pt idx="6">
                  <c:v>-10</c:v>
                </c:pt>
                <c:pt idx="7">
                  <c:v>11</c:v>
                </c:pt>
                <c:pt idx="8">
                  <c:v>-13</c:v>
                </c:pt>
                <c:pt idx="9">
                  <c:v>4</c:v>
                </c:pt>
              </c:numCache>
            </c:numRef>
          </c:val>
          <c:smooth val="0"/>
        </c:ser>
        <c:ser>
          <c:idx val="2"/>
          <c:order val="2"/>
          <c:tx>
            <c:strRef>
              <c:f>obyvatelstvo!$G$12</c:f>
              <c:strCache>
                <c:ptCount val="1"/>
                <c:pt idx="0">
                  <c:v>Přírůstek přirozený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obyvatelstvo!$G$13:$G$22</c:f>
              <c:numCache>
                <c:formatCode>General</c:formatCode>
                <c:ptCount val="10"/>
                <c:pt idx="0">
                  <c:v>-7</c:v>
                </c:pt>
                <c:pt idx="1">
                  <c:v>-5</c:v>
                </c:pt>
                <c:pt idx="2">
                  <c:v>-11</c:v>
                </c:pt>
                <c:pt idx="3">
                  <c:v>-6</c:v>
                </c:pt>
                <c:pt idx="4">
                  <c:v>-9</c:v>
                </c:pt>
                <c:pt idx="5">
                  <c:v>-10</c:v>
                </c:pt>
                <c:pt idx="6">
                  <c:v>-4</c:v>
                </c:pt>
                <c:pt idx="7">
                  <c:v>-10</c:v>
                </c:pt>
                <c:pt idx="8">
                  <c:v>2</c:v>
                </c:pt>
                <c:pt idx="9">
                  <c:v>-3</c:v>
                </c:pt>
              </c:numCache>
            </c:numRef>
          </c:val>
          <c:smooth val="0"/>
        </c:ser>
        <c:dLbls>
          <c:showLegendKey val="0"/>
          <c:showVal val="0"/>
          <c:showCatName val="0"/>
          <c:showSerName val="0"/>
          <c:showPercent val="0"/>
          <c:showBubbleSize val="0"/>
        </c:dLbls>
        <c:marker val="1"/>
        <c:smooth val="0"/>
        <c:axId val="157998464"/>
        <c:axId val="158028928"/>
      </c:lineChart>
      <c:catAx>
        <c:axId val="157998464"/>
        <c:scaling>
          <c:orientation val="minMax"/>
        </c:scaling>
        <c:delete val="0"/>
        <c:axPos val="b"/>
        <c:numFmt formatCode="General" sourceLinked="1"/>
        <c:majorTickMark val="out"/>
        <c:minorTickMark val="none"/>
        <c:tickLblPos val="nextTo"/>
        <c:spPr>
          <a:noFill/>
          <a:ln w="9525" cap="flat" cmpd="sng" algn="ctr">
            <a:solidFill>
              <a:srgbClr val="1F497D"/>
            </a:solidFill>
            <a:prstDash val="solid"/>
          </a:ln>
          <a:effectLst/>
        </c:spPr>
        <c:crossAx val="158028928"/>
        <c:crosses val="autoZero"/>
        <c:auto val="1"/>
        <c:lblAlgn val="ctr"/>
        <c:lblOffset val="100"/>
        <c:noMultiLvlLbl val="0"/>
      </c:catAx>
      <c:valAx>
        <c:axId val="158028928"/>
        <c:scaling>
          <c:orientation val="minMax"/>
          <c:max val="20"/>
        </c:scaling>
        <c:delete val="0"/>
        <c:axPos val="l"/>
        <c:majorGridlines>
          <c:spPr>
            <a:ln w="9525" cap="flat" cmpd="sng" algn="ctr">
              <a:solidFill>
                <a:srgbClr val="1F497D"/>
              </a:solidFill>
              <a:prstDash val="solid"/>
            </a:ln>
            <a:effectLst/>
          </c:spPr>
        </c:majorGridlines>
        <c:title>
          <c:tx>
            <c:rich>
              <a:bodyPr rot="-5400000" vert="horz"/>
              <a:lstStyle/>
              <a:p>
                <a:pPr algn="ctr" rtl="0">
                  <a:defRPr b="0"/>
                </a:pPr>
                <a:r>
                  <a:rPr lang="cs-CZ" b="0"/>
                  <a:t>absolutní hodnoty obyvatel</a:t>
                </a:r>
              </a:p>
              <a:p>
                <a:pPr algn="ctr" rtl="0">
                  <a:defRPr b="0"/>
                </a:pPr>
                <a:endParaRPr lang="cs-CZ" b="0"/>
              </a:p>
            </c:rich>
          </c:tx>
          <c:layout>
            <c:manualLayout>
              <c:xMode val="edge"/>
              <c:yMode val="edge"/>
              <c:x val="2.9456387396019942E-3"/>
              <c:y val="0.14187786350383785"/>
            </c:manualLayout>
          </c:layout>
          <c:overlay val="0"/>
        </c:title>
        <c:numFmt formatCode="General" sourceLinked="1"/>
        <c:majorTickMark val="out"/>
        <c:minorTickMark val="none"/>
        <c:tickLblPos val="nextTo"/>
        <c:spPr>
          <a:noFill/>
          <a:ln w="9525" cap="flat" cmpd="sng" algn="ctr">
            <a:solidFill>
              <a:srgbClr val="1F497D"/>
            </a:solidFill>
            <a:prstDash val="solid"/>
          </a:ln>
          <a:effectLst/>
        </c:spPr>
        <c:crossAx val="157998464"/>
        <c:crosses val="autoZero"/>
        <c:crossBetween val="between"/>
        <c:majorUnit val="5"/>
      </c:valAx>
      <c:spPr>
        <a:ln>
          <a:noFill/>
        </a:ln>
      </c:spPr>
    </c:plotArea>
    <c:legend>
      <c:legendPos val="b"/>
      <c:overlay val="0"/>
    </c:legend>
    <c:plotVisOnly val="1"/>
    <c:dispBlanksAs val="gap"/>
    <c:showDLblsOverMax val="0"/>
  </c:chart>
  <c:spPr>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areaChart>
        <c:grouping val="percentStacked"/>
        <c:varyColors val="0"/>
        <c:ser>
          <c:idx val="0"/>
          <c:order val="0"/>
          <c:tx>
            <c:strRef>
              <c:f>obyvatelstvo!$P$50</c:f>
              <c:strCache>
                <c:ptCount val="1"/>
                <c:pt idx="0">
                  <c:v>0 - 14 let</c:v>
                </c:pt>
              </c:strCache>
            </c:strRef>
          </c:tx>
          <c:cat>
            <c:numRef>
              <c:f>obyvatelstvo!$M$49:$O$49</c:f>
              <c:numCache>
                <c:formatCode>General</c:formatCode>
                <c:ptCount val="3"/>
                <c:pt idx="0">
                  <c:v>2001</c:v>
                </c:pt>
                <c:pt idx="1">
                  <c:v>2011</c:v>
                </c:pt>
                <c:pt idx="2">
                  <c:v>2017</c:v>
                </c:pt>
              </c:numCache>
            </c:numRef>
          </c:cat>
          <c:val>
            <c:numRef>
              <c:f>obyvatelstvo!$M$50:$O$50</c:f>
              <c:numCache>
                <c:formatCode>0.0</c:formatCode>
                <c:ptCount val="3"/>
                <c:pt idx="0">
                  <c:v>14.168377823408623</c:v>
                </c:pt>
                <c:pt idx="1">
                  <c:v>12.144420131291028</c:v>
                </c:pt>
                <c:pt idx="2">
                  <c:v>13.895216400911162</c:v>
                </c:pt>
              </c:numCache>
            </c:numRef>
          </c:val>
        </c:ser>
        <c:ser>
          <c:idx val="1"/>
          <c:order val="1"/>
          <c:tx>
            <c:strRef>
              <c:f>obyvatelstvo!$P$51</c:f>
              <c:strCache>
                <c:ptCount val="1"/>
                <c:pt idx="0">
                  <c:v>15 - 64 let</c:v>
                </c:pt>
              </c:strCache>
            </c:strRef>
          </c:tx>
          <c:spPr>
            <a:ln w="25400">
              <a:noFill/>
            </a:ln>
          </c:spPr>
          <c:cat>
            <c:numRef>
              <c:f>obyvatelstvo!$M$49:$O$49</c:f>
              <c:numCache>
                <c:formatCode>General</c:formatCode>
                <c:ptCount val="3"/>
                <c:pt idx="0">
                  <c:v>2001</c:v>
                </c:pt>
                <c:pt idx="1">
                  <c:v>2011</c:v>
                </c:pt>
                <c:pt idx="2">
                  <c:v>2017</c:v>
                </c:pt>
              </c:numCache>
            </c:numRef>
          </c:cat>
          <c:val>
            <c:numRef>
              <c:f>obyvatelstvo!$M$51:$O$51</c:f>
              <c:numCache>
                <c:formatCode>0.0</c:formatCode>
                <c:ptCount val="3"/>
                <c:pt idx="0">
                  <c:v>71.149897330595479</c:v>
                </c:pt>
                <c:pt idx="1">
                  <c:v>67.177242888402617</c:v>
                </c:pt>
                <c:pt idx="2">
                  <c:v>59.567198177676538</c:v>
                </c:pt>
              </c:numCache>
            </c:numRef>
          </c:val>
        </c:ser>
        <c:ser>
          <c:idx val="2"/>
          <c:order val="2"/>
          <c:tx>
            <c:strRef>
              <c:f>obyvatelstvo!$P$52</c:f>
              <c:strCache>
                <c:ptCount val="1"/>
                <c:pt idx="0">
                  <c:v>65 a více let</c:v>
                </c:pt>
              </c:strCache>
            </c:strRef>
          </c:tx>
          <c:spPr>
            <a:ln w="25400">
              <a:noFill/>
            </a:ln>
          </c:spPr>
          <c:cat>
            <c:numRef>
              <c:f>obyvatelstvo!$M$49:$O$49</c:f>
              <c:numCache>
                <c:formatCode>General</c:formatCode>
                <c:ptCount val="3"/>
                <c:pt idx="0">
                  <c:v>2001</c:v>
                </c:pt>
                <c:pt idx="1">
                  <c:v>2011</c:v>
                </c:pt>
                <c:pt idx="2">
                  <c:v>2017</c:v>
                </c:pt>
              </c:numCache>
            </c:numRef>
          </c:cat>
          <c:val>
            <c:numRef>
              <c:f>obyvatelstvo!$M$52:$O$52</c:f>
              <c:numCache>
                <c:formatCode>0.0</c:formatCode>
                <c:ptCount val="3"/>
                <c:pt idx="0">
                  <c:v>14.681724845995895</c:v>
                </c:pt>
                <c:pt idx="1">
                  <c:v>20.678336980306344</c:v>
                </c:pt>
                <c:pt idx="2">
                  <c:v>26.537585421412302</c:v>
                </c:pt>
              </c:numCache>
            </c:numRef>
          </c:val>
        </c:ser>
        <c:dLbls>
          <c:showLegendKey val="0"/>
          <c:showVal val="0"/>
          <c:showCatName val="0"/>
          <c:showSerName val="0"/>
          <c:showPercent val="0"/>
          <c:showBubbleSize val="0"/>
        </c:dLbls>
        <c:axId val="158694016"/>
        <c:axId val="158695808"/>
      </c:areaChart>
      <c:catAx>
        <c:axId val="158694016"/>
        <c:scaling>
          <c:orientation val="minMax"/>
        </c:scaling>
        <c:delete val="0"/>
        <c:axPos val="b"/>
        <c:numFmt formatCode="General" sourceLinked="1"/>
        <c:majorTickMark val="out"/>
        <c:minorTickMark val="none"/>
        <c:tickLblPos val="nextTo"/>
        <c:spPr>
          <a:ln>
            <a:solidFill>
              <a:schemeClr val="tx2"/>
            </a:solidFill>
          </a:ln>
        </c:spPr>
        <c:crossAx val="158695808"/>
        <c:crosses val="autoZero"/>
        <c:auto val="1"/>
        <c:lblAlgn val="ctr"/>
        <c:lblOffset val="100"/>
        <c:noMultiLvlLbl val="0"/>
      </c:catAx>
      <c:valAx>
        <c:axId val="158695808"/>
        <c:scaling>
          <c:orientation val="minMax"/>
        </c:scaling>
        <c:delete val="0"/>
        <c:axPos val="l"/>
        <c:majorGridlines/>
        <c:numFmt formatCode="0%" sourceLinked="1"/>
        <c:majorTickMark val="out"/>
        <c:minorTickMark val="none"/>
        <c:tickLblPos val="nextTo"/>
        <c:spPr>
          <a:ln>
            <a:solidFill>
              <a:schemeClr val="tx2"/>
            </a:solidFill>
          </a:ln>
        </c:spPr>
        <c:crossAx val="158694016"/>
        <c:crosses val="autoZero"/>
        <c:crossBetween val="midCat"/>
      </c:valAx>
    </c:plotArea>
    <c:legend>
      <c:legendPos val="b"/>
      <c:overlay val="0"/>
    </c:legend>
    <c:plotVisOnly val="1"/>
    <c:dispBlanksAs val="zero"/>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obyvatelstvo!$J$65</c:f>
              <c:strCache>
                <c:ptCount val="1"/>
                <c:pt idx="0">
                  <c:v>podíl ženy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obyvatelstvo!$I$66:$I$83</c:f>
              <c:numCache>
                <c:formatCode>#,##0_ ;\-#,##0\ </c:formatCode>
                <c:ptCount val="18"/>
                <c:pt idx="0">
                  <c:v>20</c:v>
                </c:pt>
                <c:pt idx="1">
                  <c:v>16</c:v>
                </c:pt>
                <c:pt idx="2">
                  <c:v>19</c:v>
                </c:pt>
                <c:pt idx="3">
                  <c:v>12</c:v>
                </c:pt>
                <c:pt idx="4">
                  <c:v>23</c:v>
                </c:pt>
                <c:pt idx="5">
                  <c:v>23</c:v>
                </c:pt>
                <c:pt idx="6">
                  <c:v>18</c:v>
                </c:pt>
                <c:pt idx="7">
                  <c:v>24</c:v>
                </c:pt>
                <c:pt idx="8">
                  <c:v>38</c:v>
                </c:pt>
                <c:pt idx="9">
                  <c:v>26</c:v>
                </c:pt>
                <c:pt idx="10">
                  <c:v>23</c:v>
                </c:pt>
                <c:pt idx="11">
                  <c:v>25</c:v>
                </c:pt>
                <c:pt idx="12">
                  <c:v>28</c:v>
                </c:pt>
                <c:pt idx="13">
                  <c:v>38</c:v>
                </c:pt>
                <c:pt idx="14">
                  <c:v>35</c:v>
                </c:pt>
                <c:pt idx="15">
                  <c:v>17</c:v>
                </c:pt>
                <c:pt idx="16">
                  <c:v>18</c:v>
                </c:pt>
                <c:pt idx="17">
                  <c:v>12</c:v>
                </c:pt>
              </c:numCache>
            </c:numRef>
          </c:val>
        </c:ser>
        <c:ser>
          <c:idx val="1"/>
          <c:order val="1"/>
          <c:tx>
            <c:strRef>
              <c:f>obyvatelstvo!$L$65</c:f>
              <c:strCache>
                <c:ptCount val="1"/>
                <c:pt idx="0">
                  <c:v>podíl muži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obyvatelstvo!$K$66:$K$83</c:f>
              <c:numCache>
                <c:formatCode>#,##0_ ;\-#,##0\ </c:formatCode>
                <c:ptCount val="18"/>
                <c:pt idx="0">
                  <c:v>18</c:v>
                </c:pt>
                <c:pt idx="1">
                  <c:v>19</c:v>
                </c:pt>
                <c:pt idx="2">
                  <c:v>30</c:v>
                </c:pt>
                <c:pt idx="3">
                  <c:v>20</c:v>
                </c:pt>
                <c:pt idx="4">
                  <c:v>18</c:v>
                </c:pt>
                <c:pt idx="5">
                  <c:v>24</c:v>
                </c:pt>
                <c:pt idx="6">
                  <c:v>26</c:v>
                </c:pt>
                <c:pt idx="7">
                  <c:v>35</c:v>
                </c:pt>
                <c:pt idx="8">
                  <c:v>38</c:v>
                </c:pt>
                <c:pt idx="9">
                  <c:v>43</c:v>
                </c:pt>
                <c:pt idx="10">
                  <c:v>30</c:v>
                </c:pt>
                <c:pt idx="11">
                  <c:v>20</c:v>
                </c:pt>
                <c:pt idx="12">
                  <c:v>29</c:v>
                </c:pt>
                <c:pt idx="13">
                  <c:v>44</c:v>
                </c:pt>
                <c:pt idx="14">
                  <c:v>40</c:v>
                </c:pt>
                <c:pt idx="15">
                  <c:v>19</c:v>
                </c:pt>
                <c:pt idx="16">
                  <c:v>5</c:v>
                </c:pt>
                <c:pt idx="17">
                  <c:v>5</c:v>
                </c:pt>
              </c:numCache>
            </c:numRef>
          </c:val>
        </c:ser>
        <c:dLbls>
          <c:showLegendKey val="0"/>
          <c:showVal val="0"/>
          <c:showCatName val="0"/>
          <c:showSerName val="0"/>
          <c:showPercent val="0"/>
          <c:showBubbleSize val="0"/>
        </c:dLbls>
        <c:gapWidth val="150"/>
        <c:overlap val="100"/>
        <c:axId val="159282688"/>
        <c:axId val="159284608"/>
      </c:barChart>
      <c:catAx>
        <c:axId val="159282688"/>
        <c:scaling>
          <c:orientation val="minMax"/>
        </c:scaling>
        <c:delete val="0"/>
        <c:axPos val="l"/>
        <c:title>
          <c:tx>
            <c:rich>
              <a:bodyPr rot="-5400000" vert="horz"/>
              <a:lstStyle/>
              <a:p>
                <a:pPr>
                  <a:defRPr b="0"/>
                </a:pPr>
                <a:r>
                  <a:rPr lang="cs-CZ" b="0"/>
                  <a:t>pětileté věkové skupiny obyvatel</a:t>
                </a:r>
              </a:p>
            </c:rich>
          </c:tx>
          <c:overlay val="0"/>
        </c:title>
        <c:majorTickMark val="out"/>
        <c:minorTickMark val="none"/>
        <c:tickLblPos val="nextTo"/>
        <c:spPr>
          <a:ln>
            <a:solidFill>
              <a:schemeClr val="accent1"/>
            </a:solidFill>
          </a:ln>
        </c:spPr>
        <c:crossAx val="159284608"/>
        <c:crosses val="autoZero"/>
        <c:auto val="1"/>
        <c:lblAlgn val="ctr"/>
        <c:lblOffset val="100"/>
        <c:noMultiLvlLbl val="0"/>
      </c:catAx>
      <c:valAx>
        <c:axId val="159284608"/>
        <c:scaling>
          <c:orientation val="minMax"/>
          <c:max val="85"/>
          <c:min val="0"/>
        </c:scaling>
        <c:delete val="0"/>
        <c:axPos val="b"/>
        <c:majorGridlines>
          <c:spPr>
            <a:ln>
              <a:solidFill>
                <a:schemeClr val="accent1"/>
              </a:solidFill>
            </a:ln>
          </c:spPr>
        </c:majorGridlines>
        <c:title>
          <c:tx>
            <c:rich>
              <a:bodyPr/>
              <a:lstStyle/>
              <a:p>
                <a:pPr>
                  <a:defRPr b="0"/>
                </a:pPr>
                <a:r>
                  <a:rPr lang="cs-CZ" b="0"/>
                  <a:t>p</a:t>
                </a:r>
                <a:r>
                  <a:rPr lang="en-US" b="0"/>
                  <a:t>o</a:t>
                </a:r>
                <a:r>
                  <a:rPr lang="cs-CZ" b="0"/>
                  <a:t>čet obyvatel ve</a:t>
                </a:r>
                <a:r>
                  <a:rPr lang="cs-CZ" b="0" baseline="0"/>
                  <a:t> </a:t>
                </a:r>
                <a:r>
                  <a:rPr lang="cs-CZ" b="0"/>
                  <a:t>věkových</a:t>
                </a:r>
                <a:r>
                  <a:rPr lang="cs-CZ" b="0" baseline="0"/>
                  <a:t> skupinách s podílem mežů a žen</a:t>
                </a:r>
                <a:r>
                  <a:rPr lang="cs-CZ" b="0"/>
                  <a:t>  </a:t>
                </a:r>
              </a:p>
            </c:rich>
          </c:tx>
          <c:overlay val="0"/>
        </c:title>
        <c:numFmt formatCode="#,##0_ ;\-#,##0\ " sourceLinked="1"/>
        <c:majorTickMark val="out"/>
        <c:minorTickMark val="none"/>
        <c:tickLblPos val="nextTo"/>
        <c:spPr>
          <a:ln>
            <a:solidFill>
              <a:schemeClr val="tx2"/>
            </a:solidFill>
          </a:ln>
        </c:spPr>
        <c:crossAx val="159282688"/>
        <c:crosses val="autoZero"/>
        <c:crossBetween val="between"/>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dLbls>
            <c:dLbl>
              <c:idx val="3"/>
              <c:layout>
                <c:manualLayout>
                  <c:x val="-1.1088188122554852E-2"/>
                  <c:y val="-4.6296296296296294E-2"/>
                </c:manualLayout>
              </c:layout>
              <c:showLegendKey val="0"/>
              <c:showVal val="1"/>
              <c:showCatName val="0"/>
              <c:showSerName val="0"/>
              <c:showPercent val="0"/>
              <c:showBubbleSize val="0"/>
            </c:dLbl>
            <c:dLbl>
              <c:idx val="4"/>
              <c:layout>
                <c:manualLayout>
                  <c:x val="4.4352054032675593E-3"/>
                  <c:y val="5.0925925925925923E-2"/>
                </c:manualLayout>
              </c:layout>
              <c:showLegendKey val="0"/>
              <c:showVal val="1"/>
              <c:showCatName val="0"/>
              <c:showSerName val="0"/>
              <c:showPercent val="0"/>
              <c:showBubbleSize val="0"/>
            </c:dLbl>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cs-CZ"/>
              </a:p>
            </c:txPr>
            <c:showLegendKey val="0"/>
            <c:showVal val="1"/>
            <c:showCatName val="0"/>
            <c:showSerName val="0"/>
            <c:showPercent val="0"/>
            <c:showBubbleSize val="0"/>
            <c:showLeaderLines val="1"/>
          </c:dLbls>
          <c:cat>
            <c:strRef>
              <c:f>obyvatelstvo!$J$91:$J$95</c:f>
              <c:strCache>
                <c:ptCount val="5"/>
                <c:pt idx="0">
                  <c:v>základní vč. neukončeného</c:v>
                </c:pt>
                <c:pt idx="1">
                  <c:v>střední vč. vyučení (bez maturity)</c:v>
                </c:pt>
                <c:pt idx="2">
                  <c:v>úplné střední (s maturitou) a vyšší odborné</c:v>
                </c:pt>
                <c:pt idx="3">
                  <c:v>vysokoškolské</c:v>
                </c:pt>
                <c:pt idx="4">
                  <c:v>bez vzdělání</c:v>
                </c:pt>
              </c:strCache>
            </c:strRef>
          </c:cat>
          <c:val>
            <c:numRef>
              <c:f>obyvatelstvo!$K$91:$K$95</c:f>
              <c:numCache>
                <c:formatCode>General</c:formatCode>
                <c:ptCount val="5"/>
                <c:pt idx="0">
                  <c:v>202</c:v>
                </c:pt>
                <c:pt idx="1">
                  <c:v>313</c:v>
                </c:pt>
                <c:pt idx="2">
                  <c:v>171</c:v>
                </c:pt>
                <c:pt idx="3">
                  <c:v>47</c:v>
                </c:pt>
                <c:pt idx="4" formatCode="###,###,##0">
                  <c:v>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rtl="0">
            <a:defRPr/>
          </a:pPr>
          <a:endParaRPr lang="cs-CZ"/>
        </a:p>
      </c:txPr>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cs-CZ"/>
    </a:p>
  </c:tx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A3FF17-AADE-4287-98EF-F925C8EF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1297</Words>
  <Characters>7655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Šafařík</dc:creator>
  <cp:lastModifiedBy>Petr Ponikelský</cp:lastModifiedBy>
  <cp:revision>3</cp:revision>
  <cp:lastPrinted>2017-10-30T09:24:00Z</cp:lastPrinted>
  <dcterms:created xsi:type="dcterms:W3CDTF">2019-04-02T16:50:00Z</dcterms:created>
  <dcterms:modified xsi:type="dcterms:W3CDTF">2019-04-02T16:51:00Z</dcterms:modified>
</cp:coreProperties>
</file>